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522BD0" w14:textId="6EBF17EE" w:rsidR="005E5209" w:rsidRDefault="005E5209" w:rsidP="005E5209">
      <w:pPr>
        <w:spacing w:after="0"/>
        <w:ind w:left="1988" w:hanging="1988"/>
        <w:rPr>
          <w:rFonts w:ascii="Arial" w:hAnsi="Arial" w:cs="Arial"/>
          <w:b/>
          <w:bCs/>
          <w:sz w:val="24"/>
          <w:lang w:val="de-DE"/>
        </w:rPr>
      </w:pPr>
      <w:r>
        <w:rPr>
          <w:rFonts w:ascii="Arial" w:hAnsi="Arial" w:cs="Arial"/>
          <w:b/>
          <w:bCs/>
          <w:sz w:val="24"/>
          <w:lang w:val="de-DE"/>
        </w:rPr>
        <w:t>3GPP TSG RAN WG1 Meeting #11</w:t>
      </w:r>
      <w:r w:rsidR="004D44F0">
        <w:rPr>
          <w:rFonts w:ascii="Arial" w:hAnsi="Arial" w:cs="Arial"/>
          <w:b/>
          <w:bCs/>
          <w:sz w:val="24"/>
          <w:lang w:val="de-DE"/>
        </w:rPr>
        <w:t>1</w:t>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r>
      <w:r>
        <w:rPr>
          <w:rFonts w:ascii="Arial" w:hAnsi="Arial" w:cs="Arial"/>
          <w:b/>
          <w:bCs/>
          <w:sz w:val="24"/>
          <w:lang w:val="de-DE"/>
        </w:rPr>
        <w:tab/>
        <w:t xml:space="preserve">    </w:t>
      </w:r>
      <w:r w:rsidR="002B73EE">
        <w:rPr>
          <w:rFonts w:ascii="Arial" w:hAnsi="Arial" w:cs="Arial"/>
          <w:b/>
          <w:bCs/>
          <w:sz w:val="24"/>
          <w:lang w:val="de-DE"/>
        </w:rPr>
        <w:tab/>
      </w:r>
      <w:r>
        <w:rPr>
          <w:rFonts w:ascii="Arial" w:hAnsi="Arial" w:cs="Arial"/>
          <w:b/>
          <w:bCs/>
          <w:sz w:val="24"/>
          <w:lang w:val="de-DE"/>
        </w:rPr>
        <w:t xml:space="preserve">       R1-22</w:t>
      </w:r>
      <w:r w:rsidR="004D44F0">
        <w:rPr>
          <w:rFonts w:ascii="Arial" w:hAnsi="Arial" w:cs="Arial"/>
          <w:b/>
          <w:bCs/>
          <w:sz w:val="24"/>
          <w:lang w:val="de-DE"/>
        </w:rPr>
        <w:t>1</w:t>
      </w:r>
      <w:r w:rsidR="00370AB2">
        <w:rPr>
          <w:rFonts w:ascii="Arial" w:hAnsi="Arial" w:cs="Arial"/>
          <w:b/>
          <w:bCs/>
          <w:sz w:val="24"/>
          <w:lang w:val="de-DE"/>
        </w:rPr>
        <w:t>1409</w:t>
      </w:r>
    </w:p>
    <w:p w14:paraId="0467B1AB" w14:textId="67B5EABD" w:rsidR="005E5209" w:rsidRPr="002B73EE" w:rsidRDefault="002B73EE" w:rsidP="005E5209">
      <w:pPr>
        <w:spacing w:after="0"/>
        <w:ind w:left="1988" w:hanging="1988"/>
        <w:rPr>
          <w:rFonts w:ascii="Arial" w:hAnsi="Arial" w:cs="Arial"/>
          <w:b/>
          <w:bCs/>
          <w:szCs w:val="20"/>
          <w:lang w:val="de-DE"/>
        </w:rPr>
      </w:pPr>
      <w:r w:rsidRPr="002B73EE">
        <w:rPr>
          <w:rFonts w:ascii="Arial" w:eastAsia="MS Mincho" w:hAnsi="Arial" w:cs="Arial"/>
          <w:b/>
          <w:bCs/>
          <w:sz w:val="24"/>
          <w:szCs w:val="20"/>
          <w:lang w:eastAsia="ja-JP"/>
        </w:rPr>
        <w:t>Toulouse, France, November 14</w:t>
      </w:r>
      <w:r w:rsidRPr="002B73EE">
        <w:rPr>
          <w:rFonts w:ascii="Arial" w:eastAsia="MS Mincho" w:hAnsi="Arial" w:cs="Arial"/>
          <w:b/>
          <w:bCs/>
          <w:sz w:val="24"/>
          <w:szCs w:val="20"/>
          <w:vertAlign w:val="superscript"/>
          <w:lang w:eastAsia="ja-JP"/>
        </w:rPr>
        <w:t>th</w:t>
      </w:r>
      <w:r w:rsidRPr="002B73EE">
        <w:rPr>
          <w:rFonts w:ascii="Arial" w:eastAsia="MS Mincho" w:hAnsi="Arial" w:cs="Arial"/>
          <w:b/>
          <w:bCs/>
          <w:sz w:val="24"/>
          <w:szCs w:val="20"/>
          <w:lang w:eastAsia="ja-JP"/>
        </w:rPr>
        <w:t xml:space="preserve"> – 18</w:t>
      </w:r>
      <w:r w:rsidRPr="002B73EE">
        <w:rPr>
          <w:rFonts w:ascii="Arial" w:eastAsia="MS Mincho" w:hAnsi="Arial" w:cs="Arial"/>
          <w:b/>
          <w:bCs/>
          <w:sz w:val="24"/>
          <w:szCs w:val="20"/>
          <w:vertAlign w:val="superscript"/>
          <w:lang w:eastAsia="ja-JP"/>
        </w:rPr>
        <w:t>th</w:t>
      </w:r>
      <w:r w:rsidRPr="002B73EE">
        <w:rPr>
          <w:rFonts w:ascii="Arial" w:eastAsia="MS Mincho" w:hAnsi="Arial" w:cs="Arial"/>
          <w:b/>
          <w:bCs/>
          <w:sz w:val="24"/>
          <w:szCs w:val="20"/>
          <w:lang w:eastAsia="ja-JP"/>
        </w:rPr>
        <w:t>, 2022</w:t>
      </w:r>
    </w:p>
    <w:p w14:paraId="5E5AEE0A" w14:textId="77777777" w:rsidR="00654E02" w:rsidRPr="005E5209" w:rsidRDefault="00654E02" w:rsidP="00654E02">
      <w:pPr>
        <w:spacing w:after="0"/>
        <w:ind w:left="1988" w:hanging="1988"/>
        <w:rPr>
          <w:rFonts w:ascii="Arial" w:hAnsi="Arial" w:cs="Arial"/>
          <w:b/>
          <w:sz w:val="24"/>
          <w:lang w:val="de-DE"/>
        </w:rPr>
      </w:pPr>
    </w:p>
    <w:p w14:paraId="616AEAE5" w14:textId="77777777" w:rsidR="00654E02" w:rsidRDefault="00654E02" w:rsidP="00654E02">
      <w:pPr>
        <w:spacing w:after="0"/>
        <w:ind w:left="1988" w:hanging="1988"/>
        <w:rPr>
          <w:rFonts w:ascii="Arial" w:hAnsi="Arial" w:cs="Arial"/>
          <w:b/>
          <w:sz w:val="24"/>
        </w:rPr>
      </w:pPr>
      <w:r>
        <w:rPr>
          <w:rFonts w:ascii="Arial" w:hAnsi="Arial" w:cs="Arial"/>
          <w:b/>
          <w:sz w:val="24"/>
        </w:rPr>
        <w:t>Source:</w:t>
      </w:r>
      <w:r>
        <w:rPr>
          <w:rFonts w:ascii="Arial" w:hAnsi="Arial" w:cs="Arial"/>
          <w:b/>
          <w:sz w:val="24"/>
        </w:rPr>
        <w:tab/>
        <w:t>Intel Corporation</w:t>
      </w:r>
    </w:p>
    <w:p w14:paraId="5DC2374B" w14:textId="20B25C33" w:rsidR="00654E02" w:rsidRDefault="00654E02" w:rsidP="00654E02">
      <w:pPr>
        <w:spacing w:after="0"/>
        <w:ind w:left="1988" w:hanging="1988"/>
        <w:rPr>
          <w:rFonts w:ascii="Arial" w:hAnsi="Arial" w:cs="Arial"/>
          <w:b/>
          <w:sz w:val="24"/>
        </w:rPr>
      </w:pPr>
      <w:r>
        <w:rPr>
          <w:rFonts w:ascii="Arial" w:hAnsi="Arial" w:cs="Arial"/>
          <w:b/>
          <w:sz w:val="24"/>
        </w:rPr>
        <w:t>Title:</w:t>
      </w:r>
      <w:r>
        <w:rPr>
          <w:rFonts w:ascii="Arial" w:hAnsi="Arial" w:cs="Arial"/>
          <w:b/>
          <w:sz w:val="24"/>
        </w:rPr>
        <w:tab/>
      </w:r>
      <w:r w:rsidR="005E5209">
        <w:rPr>
          <w:rFonts w:ascii="Arial" w:hAnsi="Arial" w:cs="Arial"/>
          <w:b/>
          <w:sz w:val="24"/>
        </w:rPr>
        <w:t>Discussion on complexity reduction for eRedCap UE</w:t>
      </w:r>
    </w:p>
    <w:p w14:paraId="7ED02BDB" w14:textId="6B7160BF" w:rsidR="00654E02" w:rsidRDefault="00654E02" w:rsidP="00654E02">
      <w:pPr>
        <w:spacing w:after="0"/>
        <w:ind w:left="1988" w:hanging="1988"/>
        <w:rPr>
          <w:rFonts w:ascii="Arial" w:hAnsi="Arial" w:cs="Arial"/>
          <w:b/>
          <w:sz w:val="24"/>
        </w:rPr>
      </w:pPr>
      <w:r>
        <w:rPr>
          <w:rFonts w:ascii="Arial" w:hAnsi="Arial" w:cs="Arial"/>
          <w:b/>
          <w:sz w:val="24"/>
        </w:rPr>
        <w:t>Agenda item:</w:t>
      </w:r>
      <w:r>
        <w:rPr>
          <w:rFonts w:ascii="Arial" w:hAnsi="Arial" w:cs="Arial"/>
          <w:b/>
          <w:sz w:val="24"/>
        </w:rPr>
        <w:tab/>
      </w:r>
      <w:r w:rsidR="00225EF0">
        <w:rPr>
          <w:rFonts w:ascii="Arial" w:hAnsi="Arial" w:cs="Arial"/>
          <w:b/>
          <w:sz w:val="24"/>
        </w:rPr>
        <w:t>9</w:t>
      </w:r>
      <w:r w:rsidR="00B855D2">
        <w:rPr>
          <w:rFonts w:ascii="Arial" w:hAnsi="Arial" w:cs="Arial"/>
          <w:b/>
          <w:sz w:val="24"/>
        </w:rPr>
        <w:t>.</w:t>
      </w:r>
      <w:r w:rsidR="00B1243C">
        <w:rPr>
          <w:rFonts w:ascii="Arial" w:hAnsi="Arial" w:cs="Arial"/>
          <w:b/>
          <w:sz w:val="24"/>
        </w:rPr>
        <w:t>6</w:t>
      </w:r>
      <w:r w:rsidR="00B855D2">
        <w:rPr>
          <w:rFonts w:ascii="Arial" w:hAnsi="Arial" w:cs="Arial"/>
          <w:b/>
          <w:sz w:val="24"/>
        </w:rPr>
        <w:t>.1</w:t>
      </w:r>
    </w:p>
    <w:p w14:paraId="09FAA100" w14:textId="6E8D80C5" w:rsidR="004B56FF" w:rsidRPr="007E5A98" w:rsidRDefault="00654E02" w:rsidP="0010108F">
      <w:pPr>
        <w:spacing w:after="0"/>
        <w:ind w:left="1988" w:hanging="1988"/>
        <w:rPr>
          <w:rFonts w:ascii="Arial" w:hAnsi="Arial" w:cs="Arial"/>
          <w:b/>
          <w:sz w:val="24"/>
        </w:rPr>
      </w:pPr>
      <w:r>
        <w:rPr>
          <w:rFonts w:ascii="Arial" w:hAnsi="Arial" w:cs="Arial"/>
          <w:b/>
          <w:sz w:val="24"/>
        </w:rPr>
        <w:t>Document for:</w:t>
      </w:r>
      <w:bookmarkStart w:id="0" w:name="DocumentFor"/>
      <w:bookmarkEnd w:id="0"/>
      <w:r>
        <w:rPr>
          <w:rFonts w:ascii="Arial" w:hAnsi="Arial" w:cs="Arial"/>
          <w:b/>
          <w:sz w:val="24"/>
        </w:rPr>
        <w:tab/>
        <w:t>Discussion and Decision</w:t>
      </w:r>
    </w:p>
    <w:p w14:paraId="6EFF39C4" w14:textId="77777777" w:rsidR="004B56FF" w:rsidRPr="004B56FF" w:rsidRDefault="004B56FF" w:rsidP="006028C8">
      <w:pPr>
        <w:pStyle w:val="Heading1"/>
        <w:keepLines/>
        <w:numPr>
          <w:ilvl w:val="0"/>
          <w:numId w:val="1"/>
        </w:numPr>
        <w:pBdr>
          <w:top w:val="single" w:sz="12" w:space="4" w:color="auto"/>
        </w:pBdr>
        <w:overflowPunct w:val="0"/>
        <w:snapToGrid/>
        <w:spacing w:before="240"/>
        <w:ind w:left="431" w:hanging="431"/>
        <w:textAlignment w:val="baseline"/>
        <w:rPr>
          <w:rFonts w:ascii="Arial" w:hAnsi="Arial"/>
          <w:b w:val="0"/>
          <w:bCs w:val="0"/>
          <w:sz w:val="36"/>
          <w:szCs w:val="20"/>
        </w:rPr>
      </w:pPr>
      <w:bookmarkStart w:id="1" w:name="_Ref40465791"/>
      <w:r w:rsidRPr="004B56FF">
        <w:rPr>
          <w:rFonts w:ascii="Arial" w:hAnsi="Arial"/>
          <w:b w:val="0"/>
          <w:bCs w:val="0"/>
          <w:sz w:val="36"/>
          <w:szCs w:val="20"/>
        </w:rPr>
        <w:t>Introduction</w:t>
      </w:r>
      <w:bookmarkEnd w:id="1"/>
    </w:p>
    <w:p w14:paraId="73157388" w14:textId="57CBD76C" w:rsidR="005E5209" w:rsidRPr="00CA5CB1" w:rsidRDefault="004D44F0" w:rsidP="00FB6457">
      <w:r>
        <w:t>In RAN1#110b-e, the following agreement were made on the complexity reduction of eRedCap UE.</w:t>
      </w:r>
      <w:r w:rsidR="005E5209" w:rsidRPr="00CA5CB1">
        <w:t xml:space="preserve"> </w:t>
      </w:r>
    </w:p>
    <w:tbl>
      <w:tblPr>
        <w:tblStyle w:val="TableGrid"/>
        <w:tblW w:w="0" w:type="auto"/>
        <w:tblLook w:val="04A0" w:firstRow="1" w:lastRow="0" w:firstColumn="1" w:lastColumn="0" w:noHBand="0" w:noVBand="1"/>
      </w:tblPr>
      <w:tblGrid>
        <w:gridCol w:w="9350"/>
      </w:tblGrid>
      <w:tr w:rsidR="005E5209" w:rsidRPr="00CA5CB1" w14:paraId="5C1B065E" w14:textId="77777777" w:rsidTr="005E5209">
        <w:tc>
          <w:tcPr>
            <w:tcW w:w="9350" w:type="dxa"/>
          </w:tcPr>
          <w:p w14:paraId="34208F14" w14:textId="77777777" w:rsidR="004D44F0" w:rsidRPr="004D44F0" w:rsidRDefault="004D44F0" w:rsidP="004D44F0">
            <w:pPr>
              <w:spacing w:after="0"/>
              <w:rPr>
                <w:sz w:val="22"/>
                <w:szCs w:val="22"/>
              </w:rPr>
            </w:pPr>
            <w:r w:rsidRPr="004D44F0">
              <w:rPr>
                <w:sz w:val="22"/>
                <w:szCs w:val="22"/>
                <w:highlight w:val="green"/>
              </w:rPr>
              <w:t>Agreement:</w:t>
            </w:r>
          </w:p>
          <w:p w14:paraId="601DC223" w14:textId="77777777" w:rsidR="004D44F0" w:rsidRPr="004D44F0" w:rsidRDefault="004D44F0" w:rsidP="004D44F0">
            <w:pPr>
              <w:spacing w:after="0"/>
              <w:rPr>
                <w:sz w:val="22"/>
                <w:szCs w:val="22"/>
              </w:rPr>
            </w:pPr>
            <w:r w:rsidRPr="004D44F0">
              <w:rPr>
                <w:sz w:val="22"/>
                <w:szCs w:val="22"/>
              </w:rPr>
              <w:t>For a cell supporting both Rel-17 and Rel-18 RedCap UEs,</w:t>
            </w:r>
          </w:p>
          <w:p w14:paraId="70ADAAAE" w14:textId="77777777" w:rsidR="004D44F0" w:rsidRPr="004D44F0" w:rsidRDefault="004D44F0" w:rsidP="004D44F0">
            <w:pPr>
              <w:numPr>
                <w:ilvl w:val="0"/>
                <w:numId w:val="32"/>
              </w:numPr>
              <w:autoSpaceDE/>
              <w:autoSpaceDN/>
              <w:adjustRightInd/>
              <w:snapToGrid/>
              <w:spacing w:after="0"/>
              <w:jc w:val="left"/>
              <w:rPr>
                <w:sz w:val="22"/>
                <w:szCs w:val="22"/>
              </w:rPr>
            </w:pPr>
            <w:r w:rsidRPr="004D44F0">
              <w:rPr>
                <w:sz w:val="22"/>
                <w:szCs w:val="22"/>
              </w:rPr>
              <w:t>The Rel-18 RedCap UEs can share the same separate initial DL/UL BWP as the Rel-17 RedCap UEs.</w:t>
            </w:r>
          </w:p>
          <w:p w14:paraId="5179B99D" w14:textId="77777777" w:rsidR="004D44F0" w:rsidRPr="004D44F0" w:rsidRDefault="004D44F0" w:rsidP="004D44F0">
            <w:pPr>
              <w:numPr>
                <w:ilvl w:val="0"/>
                <w:numId w:val="32"/>
              </w:numPr>
              <w:autoSpaceDE/>
              <w:autoSpaceDN/>
              <w:adjustRightInd/>
              <w:snapToGrid/>
              <w:spacing w:after="0"/>
              <w:jc w:val="left"/>
              <w:rPr>
                <w:sz w:val="22"/>
                <w:szCs w:val="22"/>
              </w:rPr>
            </w:pPr>
            <w:r w:rsidRPr="004D44F0">
              <w:rPr>
                <w:sz w:val="22"/>
                <w:szCs w:val="22"/>
              </w:rPr>
              <w:t>FFS: whether to support an additional separate initial DL/UL BWP specific to Rel-18 RedCap UEs</w:t>
            </w:r>
          </w:p>
          <w:p w14:paraId="45D2A529" w14:textId="77777777" w:rsidR="004D44F0" w:rsidRPr="004D44F0" w:rsidRDefault="004D44F0" w:rsidP="004D44F0">
            <w:pPr>
              <w:spacing w:after="0"/>
              <w:rPr>
                <w:sz w:val="22"/>
                <w:szCs w:val="22"/>
              </w:rPr>
            </w:pPr>
          </w:p>
          <w:p w14:paraId="2CD89302" w14:textId="77777777" w:rsidR="004D44F0" w:rsidRPr="004D44F0" w:rsidRDefault="004D44F0" w:rsidP="004D44F0">
            <w:pPr>
              <w:spacing w:after="0"/>
              <w:rPr>
                <w:sz w:val="22"/>
                <w:szCs w:val="22"/>
              </w:rPr>
            </w:pPr>
            <w:r w:rsidRPr="004D44F0">
              <w:rPr>
                <w:sz w:val="22"/>
                <w:szCs w:val="22"/>
                <w:highlight w:val="green"/>
              </w:rPr>
              <w:t>Agreement:</w:t>
            </w:r>
          </w:p>
          <w:p w14:paraId="0B8C91C4" w14:textId="77777777" w:rsidR="004D44F0" w:rsidRPr="004D44F0" w:rsidRDefault="004D44F0" w:rsidP="004D44F0">
            <w:pPr>
              <w:spacing w:after="0"/>
              <w:rPr>
                <w:sz w:val="22"/>
                <w:szCs w:val="22"/>
              </w:rPr>
            </w:pPr>
            <w:r w:rsidRPr="004D44F0">
              <w:rPr>
                <w:sz w:val="22"/>
                <w:szCs w:val="22"/>
              </w:rPr>
              <w:t>Replace the agreement on the maximum number of PRBs supported by UE with the following:</w:t>
            </w:r>
          </w:p>
          <w:p w14:paraId="2AC0BE1B" w14:textId="77777777" w:rsidR="004D44F0" w:rsidRPr="004D44F0" w:rsidRDefault="004D44F0" w:rsidP="004D44F0">
            <w:pPr>
              <w:spacing w:after="0"/>
              <w:rPr>
                <w:sz w:val="22"/>
                <w:szCs w:val="22"/>
              </w:rPr>
            </w:pPr>
            <w:r w:rsidRPr="004D44F0">
              <w:rPr>
                <w:sz w:val="22"/>
                <w:szCs w:val="22"/>
              </w:rPr>
              <w:t>For UE BB bandwidth reduction, for PUSCH, down-select between the following options for the maximum number of PRBs that the UE can transmit per slot or per hop, if applicable:</w:t>
            </w:r>
          </w:p>
          <w:p w14:paraId="3F49EA99" w14:textId="77777777" w:rsidR="004D44F0" w:rsidRPr="004D44F0" w:rsidRDefault="004D44F0" w:rsidP="004D44F0">
            <w:pPr>
              <w:numPr>
                <w:ilvl w:val="0"/>
                <w:numId w:val="30"/>
              </w:numPr>
              <w:autoSpaceDE/>
              <w:autoSpaceDN/>
              <w:adjustRightInd/>
              <w:snapToGrid/>
              <w:spacing w:after="0"/>
              <w:jc w:val="left"/>
              <w:rPr>
                <w:sz w:val="22"/>
                <w:szCs w:val="22"/>
              </w:rPr>
            </w:pPr>
            <w:r w:rsidRPr="004D44F0">
              <w:rPr>
                <w:sz w:val="22"/>
                <w:szCs w:val="22"/>
              </w:rPr>
              <w:t>Option 1: 28 PRBs for 15 kHz SCS and 14 PRBs for 30 kHz SCS</w:t>
            </w:r>
          </w:p>
          <w:p w14:paraId="11B9D2CA" w14:textId="77777777" w:rsidR="004D44F0" w:rsidRPr="004D44F0" w:rsidRDefault="004D44F0" w:rsidP="004D44F0">
            <w:pPr>
              <w:numPr>
                <w:ilvl w:val="0"/>
                <w:numId w:val="30"/>
              </w:numPr>
              <w:autoSpaceDE/>
              <w:autoSpaceDN/>
              <w:adjustRightInd/>
              <w:snapToGrid/>
              <w:spacing w:after="0"/>
              <w:jc w:val="left"/>
              <w:rPr>
                <w:sz w:val="22"/>
                <w:szCs w:val="22"/>
              </w:rPr>
            </w:pPr>
            <w:r w:rsidRPr="004D44F0">
              <w:rPr>
                <w:sz w:val="22"/>
                <w:szCs w:val="22"/>
              </w:rPr>
              <w:t>Option 2: 27 PRBs for 15 kHz SCS and 13 PRBs for 30 kHz SCS</w:t>
            </w:r>
          </w:p>
          <w:p w14:paraId="20D855BE" w14:textId="77777777" w:rsidR="004D44F0" w:rsidRPr="004D44F0" w:rsidRDefault="004D44F0" w:rsidP="004D44F0">
            <w:pPr>
              <w:numPr>
                <w:ilvl w:val="0"/>
                <w:numId w:val="30"/>
              </w:numPr>
              <w:autoSpaceDE/>
              <w:autoSpaceDN/>
              <w:adjustRightInd/>
              <w:snapToGrid/>
              <w:spacing w:after="0"/>
              <w:jc w:val="left"/>
              <w:rPr>
                <w:sz w:val="22"/>
                <w:szCs w:val="22"/>
              </w:rPr>
            </w:pPr>
            <w:r w:rsidRPr="004D44F0">
              <w:rPr>
                <w:sz w:val="22"/>
                <w:szCs w:val="22"/>
              </w:rPr>
              <w:t>Option 3: 25 PRBs for 15 kHz SCS and 12 PRBs for 30 kHz SCS</w:t>
            </w:r>
          </w:p>
          <w:p w14:paraId="265E2301" w14:textId="77777777" w:rsidR="004D44F0" w:rsidRPr="004D44F0" w:rsidRDefault="004D44F0" w:rsidP="004D44F0">
            <w:pPr>
              <w:numPr>
                <w:ilvl w:val="0"/>
                <w:numId w:val="30"/>
              </w:numPr>
              <w:autoSpaceDE/>
              <w:autoSpaceDN/>
              <w:adjustRightInd/>
              <w:snapToGrid/>
              <w:spacing w:after="0"/>
              <w:jc w:val="left"/>
              <w:rPr>
                <w:sz w:val="22"/>
                <w:szCs w:val="22"/>
              </w:rPr>
            </w:pPr>
            <w:r w:rsidRPr="004D44F0">
              <w:rPr>
                <w:sz w:val="22"/>
                <w:szCs w:val="22"/>
              </w:rPr>
              <w:t>Option 4: 25 PRBs for 15 kHz SCS and 11 PRBs for 30 kHz SCS</w:t>
            </w:r>
          </w:p>
          <w:p w14:paraId="0471B40F" w14:textId="77777777" w:rsidR="004D44F0" w:rsidRPr="004D44F0" w:rsidRDefault="004D44F0" w:rsidP="004D44F0">
            <w:pPr>
              <w:spacing w:after="0"/>
              <w:rPr>
                <w:sz w:val="22"/>
                <w:szCs w:val="22"/>
              </w:rPr>
            </w:pPr>
            <w:r w:rsidRPr="004D44F0">
              <w:rPr>
                <w:sz w:val="22"/>
                <w:szCs w:val="22"/>
              </w:rPr>
              <w:t>For UE BB bandwidth reduction, for PDSCH (at least for unicast), down-select between the following options for the maximum number of PRBs that the UE can process per slot:</w:t>
            </w:r>
          </w:p>
          <w:p w14:paraId="19155CFF" w14:textId="77777777" w:rsidR="004D44F0" w:rsidRPr="004D44F0" w:rsidRDefault="004D44F0" w:rsidP="004D44F0">
            <w:pPr>
              <w:numPr>
                <w:ilvl w:val="0"/>
                <w:numId w:val="40"/>
              </w:numPr>
              <w:autoSpaceDE/>
              <w:autoSpaceDN/>
              <w:adjustRightInd/>
              <w:snapToGrid/>
              <w:spacing w:after="0"/>
              <w:jc w:val="left"/>
              <w:rPr>
                <w:sz w:val="22"/>
                <w:szCs w:val="22"/>
              </w:rPr>
            </w:pPr>
            <w:r w:rsidRPr="004D44F0">
              <w:rPr>
                <w:sz w:val="22"/>
                <w:szCs w:val="22"/>
              </w:rPr>
              <w:t>Option 1: 28 PRBs for 15 kHz SCS and 14 PRBs for 30 kHz SCS</w:t>
            </w:r>
          </w:p>
          <w:p w14:paraId="639D694B" w14:textId="77777777" w:rsidR="004D44F0" w:rsidRPr="004D44F0" w:rsidRDefault="004D44F0" w:rsidP="004D44F0">
            <w:pPr>
              <w:numPr>
                <w:ilvl w:val="0"/>
                <w:numId w:val="40"/>
              </w:numPr>
              <w:autoSpaceDE/>
              <w:autoSpaceDN/>
              <w:adjustRightInd/>
              <w:snapToGrid/>
              <w:spacing w:after="0"/>
              <w:jc w:val="left"/>
              <w:rPr>
                <w:sz w:val="22"/>
                <w:szCs w:val="22"/>
              </w:rPr>
            </w:pPr>
            <w:r w:rsidRPr="004D44F0">
              <w:rPr>
                <w:sz w:val="22"/>
                <w:szCs w:val="22"/>
              </w:rPr>
              <w:t>Option 2: 27 PRBs for 15 kHz SCS and 13 PRBs for 30 kHz SCS</w:t>
            </w:r>
          </w:p>
          <w:p w14:paraId="28DD471A" w14:textId="77777777" w:rsidR="004D44F0" w:rsidRPr="004D44F0" w:rsidRDefault="004D44F0" w:rsidP="004D44F0">
            <w:pPr>
              <w:numPr>
                <w:ilvl w:val="0"/>
                <w:numId w:val="40"/>
              </w:numPr>
              <w:autoSpaceDE/>
              <w:autoSpaceDN/>
              <w:adjustRightInd/>
              <w:snapToGrid/>
              <w:spacing w:after="0"/>
              <w:jc w:val="left"/>
              <w:rPr>
                <w:sz w:val="22"/>
                <w:szCs w:val="22"/>
              </w:rPr>
            </w:pPr>
            <w:r w:rsidRPr="004D44F0">
              <w:rPr>
                <w:sz w:val="22"/>
                <w:szCs w:val="22"/>
              </w:rPr>
              <w:t>Option 3: 25 PRBs for 15 kHz SCS and 12 PRBs for 30 kHz SCS</w:t>
            </w:r>
          </w:p>
          <w:p w14:paraId="4BFD76A7" w14:textId="77777777" w:rsidR="004D44F0" w:rsidRPr="004D44F0" w:rsidRDefault="004D44F0" w:rsidP="004D44F0">
            <w:pPr>
              <w:numPr>
                <w:ilvl w:val="0"/>
                <w:numId w:val="40"/>
              </w:numPr>
              <w:autoSpaceDE/>
              <w:autoSpaceDN/>
              <w:adjustRightInd/>
              <w:snapToGrid/>
              <w:spacing w:after="0"/>
              <w:jc w:val="left"/>
              <w:rPr>
                <w:sz w:val="22"/>
                <w:szCs w:val="22"/>
              </w:rPr>
            </w:pPr>
            <w:r w:rsidRPr="004D44F0">
              <w:rPr>
                <w:sz w:val="22"/>
                <w:szCs w:val="22"/>
              </w:rPr>
              <w:t>Option 4: 25 PRBs for 15 kHz SCS and 11 PRBs for 30 kHz SCS</w:t>
            </w:r>
          </w:p>
          <w:p w14:paraId="55BDC613" w14:textId="77777777" w:rsidR="004D44F0" w:rsidRPr="004D44F0" w:rsidRDefault="004D44F0" w:rsidP="004D44F0">
            <w:pPr>
              <w:spacing w:after="0"/>
              <w:rPr>
                <w:sz w:val="22"/>
                <w:szCs w:val="22"/>
              </w:rPr>
            </w:pPr>
            <w:r w:rsidRPr="004D44F0">
              <w:rPr>
                <w:sz w:val="22"/>
                <w:szCs w:val="22"/>
              </w:rPr>
              <w:t>Same option will be selected for both PDSCH (at least for unicast) and PUSCH.</w:t>
            </w:r>
          </w:p>
          <w:p w14:paraId="6C64A5D6" w14:textId="77777777" w:rsidR="004D44F0" w:rsidRPr="004D44F0" w:rsidRDefault="004D44F0" w:rsidP="004D44F0">
            <w:pPr>
              <w:spacing w:after="0"/>
              <w:rPr>
                <w:sz w:val="22"/>
                <w:szCs w:val="22"/>
              </w:rPr>
            </w:pPr>
          </w:p>
          <w:p w14:paraId="77569EB9" w14:textId="77777777" w:rsidR="004D44F0" w:rsidRPr="004D44F0" w:rsidRDefault="004D44F0" w:rsidP="004D44F0">
            <w:pPr>
              <w:spacing w:after="0"/>
              <w:rPr>
                <w:sz w:val="22"/>
                <w:szCs w:val="22"/>
              </w:rPr>
            </w:pPr>
            <w:r w:rsidRPr="004D44F0">
              <w:rPr>
                <w:sz w:val="22"/>
                <w:szCs w:val="22"/>
                <w:highlight w:val="green"/>
              </w:rPr>
              <w:t>Agreement:</w:t>
            </w:r>
          </w:p>
          <w:p w14:paraId="51141897" w14:textId="77777777" w:rsidR="004D44F0" w:rsidRPr="004D44F0" w:rsidRDefault="004D44F0" w:rsidP="004D44F0">
            <w:pPr>
              <w:spacing w:after="0"/>
              <w:rPr>
                <w:sz w:val="22"/>
                <w:szCs w:val="22"/>
              </w:rPr>
            </w:pPr>
            <w:r w:rsidRPr="004D44F0">
              <w:rPr>
                <w:sz w:val="22"/>
                <w:szCs w:val="22"/>
              </w:rPr>
              <w:t>Replace the agreement on SIB1(PDSCH) for UE BB bandwidth reduction with the following:</w:t>
            </w:r>
          </w:p>
          <w:p w14:paraId="0B003C97" w14:textId="77777777" w:rsidR="004D44F0" w:rsidRPr="004D44F0" w:rsidRDefault="004D44F0" w:rsidP="004D44F0">
            <w:pPr>
              <w:spacing w:after="0"/>
              <w:rPr>
                <w:sz w:val="22"/>
                <w:szCs w:val="22"/>
              </w:rPr>
            </w:pPr>
            <w:r w:rsidRPr="004D44F0">
              <w:rPr>
                <w:sz w:val="22"/>
                <w:szCs w:val="22"/>
              </w:rPr>
              <w:t>For UE BB bandwidth reduction, for SIB1 (PDSCH),</w:t>
            </w:r>
          </w:p>
          <w:p w14:paraId="23211744" w14:textId="77777777" w:rsidR="004D44F0" w:rsidRPr="004D44F0" w:rsidRDefault="004D44F0" w:rsidP="004D44F0">
            <w:pPr>
              <w:numPr>
                <w:ilvl w:val="0"/>
                <w:numId w:val="41"/>
              </w:numPr>
              <w:autoSpaceDE/>
              <w:autoSpaceDN/>
              <w:adjustRightInd/>
              <w:snapToGrid/>
              <w:spacing w:after="0"/>
              <w:jc w:val="left"/>
              <w:rPr>
                <w:sz w:val="22"/>
                <w:szCs w:val="22"/>
              </w:rPr>
            </w:pPr>
            <w:r w:rsidRPr="004D44F0">
              <w:rPr>
                <w:sz w:val="22"/>
                <w:szCs w:val="22"/>
              </w:rPr>
              <w:t>Allow the scheduling of SIB1 to be larger than 5 MHz (as in legacy operation)</w:t>
            </w:r>
          </w:p>
          <w:p w14:paraId="47865E33" w14:textId="77777777" w:rsidR="004D44F0" w:rsidRPr="004D44F0" w:rsidRDefault="004D44F0" w:rsidP="004D44F0">
            <w:pPr>
              <w:numPr>
                <w:ilvl w:val="0"/>
                <w:numId w:val="41"/>
              </w:numPr>
              <w:autoSpaceDE/>
              <w:autoSpaceDN/>
              <w:adjustRightInd/>
              <w:snapToGrid/>
              <w:spacing w:after="0"/>
              <w:jc w:val="left"/>
              <w:rPr>
                <w:sz w:val="22"/>
                <w:szCs w:val="22"/>
              </w:rPr>
            </w:pPr>
            <w:r w:rsidRPr="004D44F0">
              <w:rPr>
                <w:sz w:val="22"/>
                <w:szCs w:val="22"/>
              </w:rPr>
              <w:t>FFS: UE post-FFT buffering “assumption”</w:t>
            </w:r>
          </w:p>
          <w:p w14:paraId="0D35B02C" w14:textId="77777777" w:rsidR="004D44F0" w:rsidRPr="004D44F0" w:rsidRDefault="004D44F0" w:rsidP="004D44F0">
            <w:pPr>
              <w:spacing w:after="0"/>
              <w:rPr>
                <w:sz w:val="22"/>
                <w:szCs w:val="22"/>
              </w:rPr>
            </w:pPr>
          </w:p>
          <w:p w14:paraId="6F0BDA31" w14:textId="77777777" w:rsidR="004D44F0" w:rsidRPr="004D44F0" w:rsidRDefault="004D44F0" w:rsidP="004D44F0">
            <w:pPr>
              <w:spacing w:after="0"/>
              <w:rPr>
                <w:sz w:val="22"/>
                <w:szCs w:val="22"/>
              </w:rPr>
            </w:pPr>
            <w:r w:rsidRPr="004D44F0">
              <w:rPr>
                <w:sz w:val="22"/>
                <w:szCs w:val="22"/>
                <w:highlight w:val="green"/>
              </w:rPr>
              <w:t>Agreement:</w:t>
            </w:r>
          </w:p>
          <w:p w14:paraId="34BE8150" w14:textId="77777777" w:rsidR="004D44F0" w:rsidRPr="004D44F0" w:rsidRDefault="004D44F0" w:rsidP="004D44F0">
            <w:pPr>
              <w:spacing w:after="0"/>
              <w:rPr>
                <w:sz w:val="22"/>
                <w:szCs w:val="22"/>
              </w:rPr>
            </w:pPr>
            <w:r w:rsidRPr="004D44F0">
              <w:rPr>
                <w:sz w:val="22"/>
                <w:szCs w:val="22"/>
              </w:rPr>
              <w:t>Replace the agreement on broadcast OSI (PDSCH) for UE BB bandwidth reduction with the following:</w:t>
            </w:r>
          </w:p>
          <w:p w14:paraId="0B73A91E" w14:textId="77777777" w:rsidR="004D44F0" w:rsidRPr="004D44F0" w:rsidRDefault="004D44F0" w:rsidP="004D44F0">
            <w:pPr>
              <w:spacing w:after="0"/>
              <w:rPr>
                <w:sz w:val="22"/>
                <w:szCs w:val="22"/>
              </w:rPr>
            </w:pPr>
            <w:r w:rsidRPr="004D44F0">
              <w:rPr>
                <w:sz w:val="22"/>
                <w:szCs w:val="22"/>
              </w:rPr>
              <w:t>For UE BB bandwidth reduction, for broadcast OSI (PDSCH),</w:t>
            </w:r>
          </w:p>
          <w:p w14:paraId="6F2B8936" w14:textId="77777777" w:rsidR="004D44F0" w:rsidRPr="004D44F0" w:rsidRDefault="004D44F0" w:rsidP="004D44F0">
            <w:pPr>
              <w:numPr>
                <w:ilvl w:val="0"/>
                <w:numId w:val="33"/>
              </w:numPr>
              <w:autoSpaceDE/>
              <w:autoSpaceDN/>
              <w:adjustRightInd/>
              <w:snapToGrid/>
              <w:spacing w:after="0"/>
              <w:jc w:val="left"/>
              <w:rPr>
                <w:sz w:val="22"/>
                <w:szCs w:val="22"/>
              </w:rPr>
            </w:pPr>
            <w:r w:rsidRPr="004D44F0">
              <w:rPr>
                <w:sz w:val="22"/>
                <w:szCs w:val="22"/>
              </w:rPr>
              <w:t>Allow the scheduling of broadcast OSI (PDSCH) to be larger than 5 MHz (as in legacy operation)</w:t>
            </w:r>
          </w:p>
          <w:p w14:paraId="125CCD19" w14:textId="77777777" w:rsidR="004D44F0" w:rsidRPr="004D44F0" w:rsidRDefault="004D44F0" w:rsidP="004D44F0">
            <w:pPr>
              <w:spacing w:after="0"/>
              <w:rPr>
                <w:sz w:val="22"/>
                <w:szCs w:val="22"/>
              </w:rPr>
            </w:pPr>
          </w:p>
          <w:p w14:paraId="0D34EDA9" w14:textId="77777777" w:rsidR="004D44F0" w:rsidRPr="004D44F0" w:rsidRDefault="004D44F0" w:rsidP="004D44F0">
            <w:pPr>
              <w:spacing w:after="0"/>
              <w:rPr>
                <w:sz w:val="22"/>
                <w:szCs w:val="22"/>
              </w:rPr>
            </w:pPr>
            <w:r w:rsidRPr="004D44F0">
              <w:rPr>
                <w:sz w:val="22"/>
                <w:szCs w:val="22"/>
                <w:highlight w:val="green"/>
              </w:rPr>
              <w:t>Agreement:</w:t>
            </w:r>
          </w:p>
          <w:p w14:paraId="428E1B00" w14:textId="77777777" w:rsidR="004D44F0" w:rsidRPr="004D44F0" w:rsidRDefault="004D44F0" w:rsidP="004D44F0">
            <w:pPr>
              <w:spacing w:after="0"/>
              <w:rPr>
                <w:sz w:val="22"/>
                <w:szCs w:val="22"/>
              </w:rPr>
            </w:pPr>
            <w:r w:rsidRPr="004D44F0">
              <w:rPr>
                <w:sz w:val="22"/>
                <w:szCs w:val="22"/>
              </w:rPr>
              <w:t>For UE BB bandwidth reduction, for paging channel (PDSCH) to Rel-18 RedCap UEs, down-select between the following options:</w:t>
            </w:r>
          </w:p>
          <w:p w14:paraId="60AEA817" w14:textId="77777777" w:rsidR="004D44F0" w:rsidRPr="004D44F0" w:rsidRDefault="004D44F0" w:rsidP="004D44F0">
            <w:pPr>
              <w:numPr>
                <w:ilvl w:val="0"/>
                <w:numId w:val="36"/>
              </w:numPr>
              <w:autoSpaceDE/>
              <w:autoSpaceDN/>
              <w:adjustRightInd/>
              <w:snapToGrid/>
              <w:spacing w:after="0"/>
              <w:jc w:val="left"/>
              <w:rPr>
                <w:sz w:val="22"/>
                <w:szCs w:val="22"/>
              </w:rPr>
            </w:pPr>
            <w:r w:rsidRPr="004D44F0">
              <w:rPr>
                <w:sz w:val="22"/>
                <w:szCs w:val="22"/>
              </w:rPr>
              <w:lastRenderedPageBreak/>
              <w:t>Option 1: Restrict the scheduling of paging channel to be within 5 MHz</w:t>
            </w:r>
          </w:p>
          <w:p w14:paraId="27735313" w14:textId="77777777" w:rsidR="004D44F0" w:rsidRPr="004D44F0" w:rsidRDefault="004D44F0" w:rsidP="004D44F0">
            <w:pPr>
              <w:numPr>
                <w:ilvl w:val="0"/>
                <w:numId w:val="36"/>
              </w:numPr>
              <w:autoSpaceDE/>
              <w:autoSpaceDN/>
              <w:adjustRightInd/>
              <w:snapToGrid/>
              <w:spacing w:after="0"/>
              <w:jc w:val="left"/>
              <w:rPr>
                <w:sz w:val="22"/>
                <w:szCs w:val="22"/>
              </w:rPr>
            </w:pPr>
            <w:r w:rsidRPr="004D44F0">
              <w:rPr>
                <w:sz w:val="22"/>
                <w:szCs w:val="22"/>
              </w:rPr>
              <w:t>Option 2: Allow the scheduling of paging channel to be larger than 5 MHz (as in legacy operation)</w:t>
            </w:r>
          </w:p>
          <w:p w14:paraId="0E46B5C7" w14:textId="77777777" w:rsidR="004D44F0" w:rsidRPr="004D44F0" w:rsidRDefault="004D44F0" w:rsidP="004D44F0">
            <w:pPr>
              <w:numPr>
                <w:ilvl w:val="0"/>
                <w:numId w:val="36"/>
              </w:numPr>
              <w:autoSpaceDE/>
              <w:autoSpaceDN/>
              <w:adjustRightInd/>
              <w:snapToGrid/>
              <w:spacing w:after="0"/>
              <w:jc w:val="left"/>
              <w:rPr>
                <w:sz w:val="22"/>
                <w:szCs w:val="22"/>
              </w:rPr>
            </w:pPr>
            <w:r w:rsidRPr="004D44F0">
              <w:rPr>
                <w:sz w:val="22"/>
                <w:szCs w:val="22"/>
              </w:rPr>
              <w:t>FFS: whether 5MHz is assumed to be physically contiguous</w:t>
            </w:r>
          </w:p>
          <w:p w14:paraId="42F3B3B2" w14:textId="77777777" w:rsidR="004D44F0" w:rsidRPr="004D44F0" w:rsidRDefault="004D44F0" w:rsidP="004D44F0">
            <w:pPr>
              <w:spacing w:after="0"/>
              <w:rPr>
                <w:sz w:val="22"/>
                <w:szCs w:val="22"/>
              </w:rPr>
            </w:pPr>
          </w:p>
          <w:p w14:paraId="1A419ED0" w14:textId="77777777" w:rsidR="004D44F0" w:rsidRPr="004D44F0" w:rsidRDefault="004D44F0" w:rsidP="004D44F0">
            <w:pPr>
              <w:spacing w:after="0"/>
              <w:rPr>
                <w:sz w:val="22"/>
                <w:szCs w:val="22"/>
              </w:rPr>
            </w:pPr>
            <w:r w:rsidRPr="004D44F0">
              <w:rPr>
                <w:sz w:val="22"/>
                <w:szCs w:val="22"/>
                <w:highlight w:val="green"/>
              </w:rPr>
              <w:t>Agreement:</w:t>
            </w:r>
          </w:p>
          <w:p w14:paraId="627661A9" w14:textId="77777777" w:rsidR="004D44F0" w:rsidRPr="004D44F0" w:rsidRDefault="004D44F0" w:rsidP="004D44F0">
            <w:pPr>
              <w:spacing w:after="0"/>
              <w:rPr>
                <w:sz w:val="22"/>
                <w:szCs w:val="22"/>
              </w:rPr>
            </w:pPr>
            <w:r w:rsidRPr="004D44F0">
              <w:rPr>
                <w:sz w:val="22"/>
                <w:szCs w:val="22"/>
              </w:rPr>
              <w:t>For UE BB bandwidth reduction, for RAR (PDSCH) to Rel-18 RedCap UEs, down-select between the following options:</w:t>
            </w:r>
          </w:p>
          <w:p w14:paraId="728D70E6" w14:textId="77777777" w:rsidR="004D44F0" w:rsidRPr="004D44F0" w:rsidRDefault="004D44F0" w:rsidP="004D44F0">
            <w:pPr>
              <w:numPr>
                <w:ilvl w:val="0"/>
                <w:numId w:val="38"/>
              </w:numPr>
              <w:autoSpaceDE/>
              <w:autoSpaceDN/>
              <w:adjustRightInd/>
              <w:snapToGrid/>
              <w:spacing w:after="0"/>
              <w:jc w:val="left"/>
              <w:rPr>
                <w:sz w:val="22"/>
                <w:szCs w:val="22"/>
              </w:rPr>
            </w:pPr>
            <w:r w:rsidRPr="004D44F0">
              <w:rPr>
                <w:sz w:val="22"/>
                <w:szCs w:val="22"/>
              </w:rPr>
              <w:t>Option 1: Restrict the scheduling of RAR PDSCH to be within 5 MHz</w:t>
            </w:r>
          </w:p>
          <w:p w14:paraId="373125F6" w14:textId="77777777" w:rsidR="004D44F0" w:rsidRPr="004D44F0" w:rsidRDefault="004D44F0" w:rsidP="004D44F0">
            <w:pPr>
              <w:numPr>
                <w:ilvl w:val="0"/>
                <w:numId w:val="38"/>
              </w:numPr>
              <w:autoSpaceDE/>
              <w:autoSpaceDN/>
              <w:adjustRightInd/>
              <w:snapToGrid/>
              <w:spacing w:after="0"/>
              <w:jc w:val="left"/>
              <w:rPr>
                <w:sz w:val="22"/>
                <w:szCs w:val="22"/>
              </w:rPr>
            </w:pPr>
            <w:r w:rsidRPr="004D44F0">
              <w:rPr>
                <w:sz w:val="22"/>
                <w:szCs w:val="22"/>
              </w:rPr>
              <w:t>Option 2: Allow the scheduling of RAR PDSCH to be larger than 5 MHz (as in legacy operation)</w:t>
            </w:r>
          </w:p>
          <w:p w14:paraId="738A1253" w14:textId="77777777" w:rsidR="004D44F0" w:rsidRPr="004D44F0" w:rsidRDefault="004D44F0" w:rsidP="004D44F0">
            <w:pPr>
              <w:numPr>
                <w:ilvl w:val="0"/>
                <w:numId w:val="38"/>
              </w:numPr>
              <w:autoSpaceDE/>
              <w:autoSpaceDN/>
              <w:adjustRightInd/>
              <w:snapToGrid/>
              <w:spacing w:after="0"/>
              <w:jc w:val="left"/>
              <w:rPr>
                <w:sz w:val="22"/>
                <w:szCs w:val="22"/>
              </w:rPr>
            </w:pPr>
            <w:r w:rsidRPr="004D44F0">
              <w:rPr>
                <w:sz w:val="22"/>
                <w:szCs w:val="22"/>
              </w:rPr>
              <w:t>FFS: whether 5MHz is assumed to be physically contiguous</w:t>
            </w:r>
          </w:p>
          <w:p w14:paraId="7083A100" w14:textId="66A8663D" w:rsidR="004D44F0" w:rsidRPr="004D44F0" w:rsidRDefault="004D44F0" w:rsidP="004D44F0">
            <w:pPr>
              <w:spacing w:after="0"/>
              <w:rPr>
                <w:sz w:val="22"/>
                <w:szCs w:val="22"/>
              </w:rPr>
            </w:pPr>
          </w:p>
          <w:p w14:paraId="04C469CD" w14:textId="77777777" w:rsidR="004D44F0" w:rsidRPr="004D44F0" w:rsidRDefault="004D44F0" w:rsidP="004D44F0">
            <w:pPr>
              <w:spacing w:after="0"/>
              <w:rPr>
                <w:sz w:val="22"/>
                <w:szCs w:val="22"/>
              </w:rPr>
            </w:pPr>
            <w:r w:rsidRPr="004D44F0">
              <w:rPr>
                <w:sz w:val="22"/>
                <w:szCs w:val="22"/>
                <w:highlight w:val="green"/>
              </w:rPr>
              <w:t>Agreement:</w:t>
            </w:r>
          </w:p>
          <w:p w14:paraId="7E1B870E" w14:textId="77777777" w:rsidR="004D44F0" w:rsidRPr="004D44F0" w:rsidRDefault="004D44F0" w:rsidP="004D44F0">
            <w:pPr>
              <w:spacing w:after="0"/>
              <w:rPr>
                <w:sz w:val="22"/>
                <w:szCs w:val="22"/>
              </w:rPr>
            </w:pPr>
            <w:r w:rsidRPr="004D44F0">
              <w:rPr>
                <w:sz w:val="22"/>
                <w:szCs w:val="22"/>
              </w:rPr>
              <w:t>For UE BB bandwidth reduction, a UE is not expected to receive an UL grant in a DCI with a PUSCH resource allocation spanning a bandwidth of more than ~5 MHz per slot or per hop, if applicable.</w:t>
            </w:r>
          </w:p>
          <w:p w14:paraId="01191D06" w14:textId="77777777" w:rsidR="004D44F0" w:rsidRPr="004D44F0" w:rsidRDefault="004D44F0" w:rsidP="004D44F0">
            <w:pPr>
              <w:spacing w:after="0"/>
              <w:rPr>
                <w:sz w:val="22"/>
                <w:szCs w:val="22"/>
              </w:rPr>
            </w:pPr>
          </w:p>
          <w:p w14:paraId="3B7B2940" w14:textId="77777777" w:rsidR="004D44F0" w:rsidRPr="004D44F0" w:rsidRDefault="004D44F0" w:rsidP="004D44F0">
            <w:pPr>
              <w:spacing w:after="0"/>
              <w:rPr>
                <w:sz w:val="22"/>
                <w:szCs w:val="22"/>
              </w:rPr>
            </w:pPr>
            <w:r w:rsidRPr="004D44F0">
              <w:rPr>
                <w:sz w:val="22"/>
                <w:szCs w:val="22"/>
                <w:highlight w:val="green"/>
              </w:rPr>
              <w:t>Agreement:</w:t>
            </w:r>
          </w:p>
          <w:p w14:paraId="7EEA4D52" w14:textId="77777777" w:rsidR="004D44F0" w:rsidRPr="004D44F0" w:rsidRDefault="004D44F0" w:rsidP="004D44F0">
            <w:pPr>
              <w:numPr>
                <w:ilvl w:val="0"/>
                <w:numId w:val="31"/>
              </w:numPr>
              <w:autoSpaceDE/>
              <w:autoSpaceDN/>
              <w:adjustRightInd/>
              <w:snapToGrid/>
              <w:spacing w:after="0"/>
              <w:jc w:val="left"/>
              <w:rPr>
                <w:sz w:val="22"/>
                <w:szCs w:val="22"/>
              </w:rPr>
            </w:pPr>
            <w:r w:rsidRPr="004D44F0">
              <w:rPr>
                <w:sz w:val="22"/>
                <w:szCs w:val="22"/>
              </w:rPr>
              <w:t>For UE BB bandwidth reduction, a UE is not expected to be configured with a CG grant with a PUSCH resource allocation spanning a bandwidth of more than ~5 MHz per slot or per hop, if applicable.</w:t>
            </w:r>
          </w:p>
          <w:p w14:paraId="7DA53C9E" w14:textId="77777777" w:rsidR="004D44F0" w:rsidRPr="004D44F0" w:rsidRDefault="004D44F0" w:rsidP="004D44F0">
            <w:pPr>
              <w:numPr>
                <w:ilvl w:val="0"/>
                <w:numId w:val="31"/>
              </w:numPr>
              <w:autoSpaceDE/>
              <w:autoSpaceDN/>
              <w:adjustRightInd/>
              <w:snapToGrid/>
              <w:spacing w:after="0"/>
              <w:jc w:val="left"/>
              <w:rPr>
                <w:sz w:val="22"/>
                <w:szCs w:val="22"/>
              </w:rPr>
            </w:pPr>
            <w:r w:rsidRPr="004D44F0">
              <w:rPr>
                <w:sz w:val="22"/>
                <w:szCs w:val="22"/>
              </w:rPr>
              <w:t>For UE BB bandwidth reduction, it is FFS whether a UE can be expected to receive an UL grant in a RAR with a Msg3 PUSCH resource allocation spanning a bandwidth of more than ~5 MHz per slot or per hop, if applicable.</w:t>
            </w:r>
          </w:p>
          <w:p w14:paraId="47138716" w14:textId="77777777" w:rsidR="004D44F0" w:rsidRPr="004D44F0" w:rsidRDefault="004D44F0" w:rsidP="004D44F0">
            <w:pPr>
              <w:spacing w:after="0"/>
              <w:rPr>
                <w:bCs/>
                <w:sz w:val="22"/>
                <w:szCs w:val="22"/>
                <w:lang w:eastAsia="x-none"/>
              </w:rPr>
            </w:pPr>
          </w:p>
          <w:p w14:paraId="19CB4A0D" w14:textId="77777777" w:rsidR="004D44F0" w:rsidRPr="004D44F0" w:rsidRDefault="004D44F0" w:rsidP="004D44F0">
            <w:pPr>
              <w:spacing w:after="0"/>
              <w:rPr>
                <w:sz w:val="22"/>
                <w:szCs w:val="22"/>
              </w:rPr>
            </w:pPr>
            <w:r w:rsidRPr="004D44F0">
              <w:rPr>
                <w:sz w:val="22"/>
                <w:szCs w:val="22"/>
                <w:highlight w:val="green"/>
              </w:rPr>
              <w:t>Agreement:</w:t>
            </w:r>
          </w:p>
          <w:p w14:paraId="26E4831B" w14:textId="77777777" w:rsidR="004D44F0" w:rsidRPr="004D44F0" w:rsidRDefault="004D44F0" w:rsidP="004D44F0">
            <w:pPr>
              <w:numPr>
                <w:ilvl w:val="0"/>
                <w:numId w:val="39"/>
              </w:numPr>
              <w:autoSpaceDE/>
              <w:autoSpaceDN/>
              <w:adjustRightInd/>
              <w:snapToGrid/>
              <w:spacing w:after="0"/>
              <w:jc w:val="left"/>
              <w:rPr>
                <w:sz w:val="22"/>
                <w:szCs w:val="22"/>
              </w:rPr>
            </w:pPr>
            <w:r w:rsidRPr="004D44F0">
              <w:rPr>
                <w:sz w:val="22"/>
                <w:szCs w:val="22"/>
              </w:rPr>
              <w:t>UE peak data rate reduction is supported at least as an add-on to UE BB bandwidth reduction,</w:t>
            </w:r>
          </w:p>
          <w:p w14:paraId="278666FF" w14:textId="77777777" w:rsidR="004D44F0" w:rsidRPr="004D44F0" w:rsidRDefault="004D44F0" w:rsidP="004D44F0">
            <w:pPr>
              <w:numPr>
                <w:ilvl w:val="1"/>
                <w:numId w:val="39"/>
              </w:numPr>
              <w:autoSpaceDE/>
              <w:autoSpaceDN/>
              <w:adjustRightInd/>
              <w:snapToGrid/>
              <w:spacing w:after="0"/>
              <w:jc w:val="left"/>
              <w:rPr>
                <w:sz w:val="22"/>
                <w:szCs w:val="22"/>
              </w:rPr>
            </w:pPr>
            <w:r w:rsidRPr="004D44F0">
              <w:rPr>
                <w:sz w:val="22"/>
                <w:szCs w:val="22"/>
              </w:rPr>
              <w:t>The constraint </w:t>
            </w:r>
            <w:r w:rsidRPr="004D44F0">
              <w:rPr>
                <w:i/>
                <w:iCs/>
                <w:sz w:val="22"/>
                <w:szCs w:val="22"/>
              </w:rPr>
              <w:t>v</w:t>
            </w:r>
            <w:r w:rsidRPr="004D44F0">
              <w:rPr>
                <w:i/>
                <w:iCs/>
                <w:sz w:val="22"/>
                <w:szCs w:val="22"/>
                <w:vertAlign w:val="subscript"/>
              </w:rPr>
              <w:t>Layers</w:t>
            </w:r>
            <w:r w:rsidRPr="004D44F0">
              <w:rPr>
                <w:sz w:val="22"/>
                <w:szCs w:val="22"/>
              </w:rPr>
              <w:t>·</w:t>
            </w:r>
            <w:r w:rsidRPr="004D44F0">
              <w:rPr>
                <w:i/>
                <w:iCs/>
                <w:sz w:val="22"/>
                <w:szCs w:val="22"/>
              </w:rPr>
              <w:t>Q</w:t>
            </w:r>
            <w:r w:rsidRPr="004D44F0">
              <w:rPr>
                <w:i/>
                <w:iCs/>
                <w:sz w:val="22"/>
                <w:szCs w:val="22"/>
                <w:vertAlign w:val="subscript"/>
              </w:rPr>
              <w:t>m</w:t>
            </w:r>
            <w:r w:rsidRPr="004D44F0">
              <w:rPr>
                <w:sz w:val="22"/>
                <w:szCs w:val="22"/>
              </w:rPr>
              <w:t>·</w:t>
            </w:r>
            <w:r w:rsidRPr="004D44F0">
              <w:rPr>
                <w:i/>
                <w:iCs/>
                <w:sz w:val="22"/>
                <w:szCs w:val="22"/>
              </w:rPr>
              <w:t>f</w:t>
            </w:r>
            <w:r w:rsidRPr="004D44F0">
              <w:rPr>
                <w:sz w:val="22"/>
                <w:szCs w:val="22"/>
              </w:rPr>
              <w:t> ≥ 4 is relaxed to </w:t>
            </w:r>
            <w:r w:rsidRPr="004D44F0">
              <w:rPr>
                <w:i/>
                <w:iCs/>
                <w:sz w:val="22"/>
                <w:szCs w:val="22"/>
              </w:rPr>
              <w:t>v</w:t>
            </w:r>
            <w:r w:rsidRPr="004D44F0">
              <w:rPr>
                <w:i/>
                <w:iCs/>
                <w:sz w:val="22"/>
                <w:szCs w:val="22"/>
                <w:vertAlign w:val="subscript"/>
              </w:rPr>
              <w:t>Layers</w:t>
            </w:r>
            <w:r w:rsidRPr="004D44F0">
              <w:rPr>
                <w:sz w:val="22"/>
                <w:szCs w:val="22"/>
              </w:rPr>
              <w:t>·</w:t>
            </w:r>
            <w:r w:rsidRPr="004D44F0">
              <w:rPr>
                <w:i/>
                <w:iCs/>
                <w:sz w:val="22"/>
                <w:szCs w:val="22"/>
              </w:rPr>
              <w:t>Q</w:t>
            </w:r>
            <w:r w:rsidRPr="004D44F0">
              <w:rPr>
                <w:i/>
                <w:iCs/>
                <w:sz w:val="22"/>
                <w:szCs w:val="22"/>
                <w:vertAlign w:val="subscript"/>
              </w:rPr>
              <w:t>m</w:t>
            </w:r>
            <w:r w:rsidRPr="004D44F0">
              <w:rPr>
                <w:sz w:val="22"/>
                <w:szCs w:val="22"/>
              </w:rPr>
              <w:t>·</w:t>
            </w:r>
            <w:r w:rsidRPr="004D44F0">
              <w:rPr>
                <w:i/>
                <w:iCs/>
                <w:sz w:val="22"/>
                <w:szCs w:val="22"/>
              </w:rPr>
              <w:t>f</w:t>
            </w:r>
            <w:r w:rsidRPr="004D44F0">
              <w:rPr>
                <w:sz w:val="22"/>
                <w:szCs w:val="22"/>
              </w:rPr>
              <w:t> ≥ X.</w:t>
            </w:r>
          </w:p>
          <w:p w14:paraId="6A2A0359" w14:textId="77777777" w:rsidR="004D44F0" w:rsidRPr="004D44F0" w:rsidRDefault="004D44F0" w:rsidP="004D44F0">
            <w:pPr>
              <w:numPr>
                <w:ilvl w:val="1"/>
                <w:numId w:val="39"/>
              </w:numPr>
              <w:autoSpaceDE/>
              <w:autoSpaceDN/>
              <w:adjustRightInd/>
              <w:snapToGrid/>
              <w:spacing w:after="0"/>
              <w:jc w:val="left"/>
              <w:rPr>
                <w:sz w:val="22"/>
                <w:szCs w:val="22"/>
              </w:rPr>
            </w:pPr>
            <w:r w:rsidRPr="004D44F0">
              <w:rPr>
                <w:sz w:val="22"/>
                <w:szCs w:val="22"/>
              </w:rPr>
              <w:t xml:space="preserve">FFS: the value of X </w:t>
            </w:r>
          </w:p>
          <w:p w14:paraId="68CF6ECE" w14:textId="77777777" w:rsidR="004D44F0" w:rsidRPr="004D44F0" w:rsidRDefault="004D44F0" w:rsidP="004D44F0">
            <w:pPr>
              <w:numPr>
                <w:ilvl w:val="0"/>
                <w:numId w:val="39"/>
              </w:numPr>
              <w:autoSpaceDE/>
              <w:autoSpaceDN/>
              <w:adjustRightInd/>
              <w:snapToGrid/>
              <w:spacing w:after="0"/>
              <w:jc w:val="left"/>
              <w:rPr>
                <w:sz w:val="22"/>
                <w:szCs w:val="22"/>
              </w:rPr>
            </w:pPr>
            <w:r w:rsidRPr="004D44F0">
              <w:rPr>
                <w:sz w:val="22"/>
                <w:szCs w:val="22"/>
              </w:rPr>
              <w:t>If UE peak data rate reduction is supported as a standalone feature,</w:t>
            </w:r>
          </w:p>
          <w:p w14:paraId="78DAD03D" w14:textId="77777777" w:rsidR="004D44F0" w:rsidRPr="004D44F0" w:rsidRDefault="004D44F0" w:rsidP="004D44F0">
            <w:pPr>
              <w:numPr>
                <w:ilvl w:val="1"/>
                <w:numId w:val="39"/>
              </w:numPr>
              <w:autoSpaceDE/>
              <w:autoSpaceDN/>
              <w:adjustRightInd/>
              <w:snapToGrid/>
              <w:spacing w:after="0"/>
              <w:jc w:val="left"/>
              <w:rPr>
                <w:sz w:val="22"/>
                <w:szCs w:val="22"/>
              </w:rPr>
            </w:pPr>
            <w:r w:rsidRPr="004D44F0">
              <w:rPr>
                <w:sz w:val="22"/>
                <w:szCs w:val="22"/>
              </w:rPr>
              <w:t>The constraint </w:t>
            </w:r>
            <w:r w:rsidRPr="004D44F0">
              <w:rPr>
                <w:i/>
                <w:iCs/>
                <w:sz w:val="22"/>
                <w:szCs w:val="22"/>
              </w:rPr>
              <w:t>v</w:t>
            </w:r>
            <w:r w:rsidRPr="004D44F0">
              <w:rPr>
                <w:i/>
                <w:iCs/>
                <w:sz w:val="22"/>
                <w:szCs w:val="22"/>
                <w:vertAlign w:val="subscript"/>
              </w:rPr>
              <w:t>Layers</w:t>
            </w:r>
            <w:r w:rsidRPr="004D44F0">
              <w:rPr>
                <w:sz w:val="22"/>
                <w:szCs w:val="22"/>
              </w:rPr>
              <w:t>·</w:t>
            </w:r>
            <w:r w:rsidRPr="004D44F0">
              <w:rPr>
                <w:i/>
                <w:iCs/>
                <w:sz w:val="22"/>
                <w:szCs w:val="22"/>
              </w:rPr>
              <w:t>Q</w:t>
            </w:r>
            <w:r w:rsidRPr="004D44F0">
              <w:rPr>
                <w:i/>
                <w:iCs/>
                <w:sz w:val="22"/>
                <w:szCs w:val="22"/>
                <w:vertAlign w:val="subscript"/>
              </w:rPr>
              <w:t>m</w:t>
            </w:r>
            <w:r w:rsidRPr="004D44F0">
              <w:rPr>
                <w:sz w:val="22"/>
                <w:szCs w:val="22"/>
              </w:rPr>
              <w:t>·</w:t>
            </w:r>
            <w:r w:rsidRPr="004D44F0">
              <w:rPr>
                <w:i/>
                <w:iCs/>
                <w:sz w:val="22"/>
                <w:szCs w:val="22"/>
              </w:rPr>
              <w:t>f</w:t>
            </w:r>
            <w:r w:rsidRPr="004D44F0">
              <w:rPr>
                <w:sz w:val="22"/>
                <w:szCs w:val="22"/>
              </w:rPr>
              <w:t> ≥ 4 is relaxed to </w:t>
            </w:r>
            <w:r w:rsidRPr="004D44F0">
              <w:rPr>
                <w:i/>
                <w:iCs/>
                <w:sz w:val="22"/>
                <w:szCs w:val="22"/>
              </w:rPr>
              <w:t>v</w:t>
            </w:r>
            <w:r w:rsidRPr="004D44F0">
              <w:rPr>
                <w:i/>
                <w:iCs/>
                <w:sz w:val="22"/>
                <w:szCs w:val="22"/>
                <w:vertAlign w:val="subscript"/>
              </w:rPr>
              <w:t>Layers</w:t>
            </w:r>
            <w:r w:rsidRPr="004D44F0">
              <w:rPr>
                <w:sz w:val="22"/>
                <w:szCs w:val="22"/>
              </w:rPr>
              <w:t>·</w:t>
            </w:r>
            <w:r w:rsidRPr="004D44F0">
              <w:rPr>
                <w:i/>
                <w:iCs/>
                <w:sz w:val="22"/>
                <w:szCs w:val="22"/>
              </w:rPr>
              <w:t>Q</w:t>
            </w:r>
            <w:r w:rsidRPr="004D44F0">
              <w:rPr>
                <w:i/>
                <w:iCs/>
                <w:sz w:val="22"/>
                <w:szCs w:val="22"/>
                <w:vertAlign w:val="subscript"/>
              </w:rPr>
              <w:t>m</w:t>
            </w:r>
            <w:r w:rsidRPr="004D44F0">
              <w:rPr>
                <w:sz w:val="22"/>
                <w:szCs w:val="22"/>
              </w:rPr>
              <w:t>·</w:t>
            </w:r>
            <w:r w:rsidRPr="004D44F0">
              <w:rPr>
                <w:i/>
                <w:iCs/>
                <w:sz w:val="22"/>
                <w:szCs w:val="22"/>
              </w:rPr>
              <w:t>f</w:t>
            </w:r>
            <w:r w:rsidRPr="004D44F0">
              <w:rPr>
                <w:sz w:val="22"/>
                <w:szCs w:val="22"/>
              </w:rPr>
              <w:t> ≥ Y.</w:t>
            </w:r>
          </w:p>
          <w:p w14:paraId="7D73BA94" w14:textId="77777777" w:rsidR="004D44F0" w:rsidRPr="004D44F0" w:rsidRDefault="004D44F0" w:rsidP="004D44F0">
            <w:pPr>
              <w:numPr>
                <w:ilvl w:val="1"/>
                <w:numId w:val="39"/>
              </w:numPr>
              <w:autoSpaceDE/>
              <w:autoSpaceDN/>
              <w:adjustRightInd/>
              <w:snapToGrid/>
              <w:spacing w:after="0"/>
              <w:jc w:val="left"/>
              <w:rPr>
                <w:sz w:val="22"/>
                <w:szCs w:val="22"/>
              </w:rPr>
            </w:pPr>
            <w:r w:rsidRPr="004D44F0">
              <w:rPr>
                <w:sz w:val="22"/>
                <w:szCs w:val="22"/>
              </w:rPr>
              <w:t>FFS: the value of Y</w:t>
            </w:r>
          </w:p>
          <w:p w14:paraId="0974ACEF" w14:textId="6C2C3427" w:rsidR="005E5209" w:rsidRPr="004D44F0" w:rsidRDefault="004D44F0" w:rsidP="004D44F0">
            <w:pPr>
              <w:numPr>
                <w:ilvl w:val="1"/>
                <w:numId w:val="39"/>
              </w:numPr>
              <w:autoSpaceDE/>
              <w:autoSpaceDN/>
              <w:adjustRightInd/>
              <w:snapToGrid/>
              <w:spacing w:after="0"/>
              <w:jc w:val="left"/>
              <w:rPr>
                <w:sz w:val="22"/>
                <w:szCs w:val="22"/>
              </w:rPr>
            </w:pPr>
            <w:r w:rsidRPr="004D44F0">
              <w:rPr>
                <w:sz w:val="22"/>
                <w:szCs w:val="22"/>
              </w:rPr>
              <w:t>Note: Whether this option is supported will be decided in RAN plenary.</w:t>
            </w:r>
          </w:p>
        </w:tc>
      </w:tr>
    </w:tbl>
    <w:p w14:paraId="097C51C7" w14:textId="79A6D796" w:rsidR="002A409A" w:rsidRPr="00CA5CB1" w:rsidRDefault="002A409A" w:rsidP="002A409A">
      <w:pPr>
        <w:spacing w:after="0"/>
        <w:rPr>
          <w:rFonts w:ascii="Calibri" w:eastAsia="Microsoft YaHei UI" w:hAnsi="Calibri" w:cs="Calibri"/>
          <w:color w:val="000000"/>
          <w:lang w:eastAsia="zh-CN"/>
        </w:rPr>
      </w:pPr>
    </w:p>
    <w:p w14:paraId="3A323DA7" w14:textId="2C1E1C7D" w:rsidR="00860B72" w:rsidRPr="00CA5CB1" w:rsidRDefault="00D8176C" w:rsidP="007967C3">
      <w:pPr>
        <w:spacing w:before="120"/>
        <w:rPr>
          <w:rFonts w:eastAsia="Malgun Gothic"/>
          <w:lang w:eastAsia="ko-KR"/>
        </w:rPr>
      </w:pPr>
      <w:r w:rsidRPr="00CA5CB1">
        <w:rPr>
          <w:rFonts w:eastAsia="Malgun Gothic"/>
          <w:lang w:eastAsia="ko-KR"/>
        </w:rPr>
        <w:t xml:space="preserve">In this </w:t>
      </w:r>
      <w:r w:rsidR="00852F00" w:rsidRPr="00CA5CB1">
        <w:rPr>
          <w:rFonts w:eastAsia="Malgun Gothic"/>
          <w:lang w:eastAsia="ko-KR"/>
        </w:rPr>
        <w:t>contribution</w:t>
      </w:r>
      <w:r w:rsidRPr="00CA5CB1">
        <w:rPr>
          <w:rFonts w:eastAsia="Malgun Gothic"/>
          <w:lang w:eastAsia="ko-KR"/>
        </w:rPr>
        <w:t xml:space="preserve">, </w:t>
      </w:r>
      <w:r w:rsidR="00906EB9" w:rsidRPr="00CA5CB1">
        <w:rPr>
          <w:rFonts w:eastAsia="Malgun Gothic"/>
          <w:lang w:eastAsia="ko-KR"/>
        </w:rPr>
        <w:t xml:space="preserve">we </w:t>
      </w:r>
      <w:r w:rsidR="005E5209" w:rsidRPr="00CA5CB1">
        <w:rPr>
          <w:rFonts w:eastAsia="Malgun Gothic"/>
          <w:lang w:eastAsia="ko-KR"/>
        </w:rPr>
        <w:t>provide</w:t>
      </w:r>
      <w:r w:rsidR="001D77CC" w:rsidRPr="00CA5CB1">
        <w:rPr>
          <w:rFonts w:eastAsia="Malgun Gothic"/>
          <w:lang w:eastAsia="ko-KR"/>
        </w:rPr>
        <w:t xml:space="preserve"> our </w:t>
      </w:r>
      <w:r w:rsidR="004D44F0">
        <w:rPr>
          <w:rFonts w:eastAsia="Malgun Gothic"/>
          <w:lang w:eastAsia="ko-KR"/>
        </w:rPr>
        <w:t xml:space="preserve">further </w:t>
      </w:r>
      <w:r w:rsidR="001D77CC" w:rsidRPr="00CA5CB1">
        <w:rPr>
          <w:rFonts w:eastAsia="Malgun Gothic"/>
          <w:lang w:eastAsia="ko-KR"/>
        </w:rPr>
        <w:t>views on</w:t>
      </w:r>
      <w:r w:rsidR="006F22CE" w:rsidRPr="00CA5CB1">
        <w:rPr>
          <w:rFonts w:eastAsia="Malgun Gothic"/>
          <w:lang w:eastAsia="ko-KR"/>
        </w:rPr>
        <w:t xml:space="preserve"> the </w:t>
      </w:r>
      <w:r w:rsidR="005E5209" w:rsidRPr="00CA5CB1">
        <w:rPr>
          <w:rFonts w:eastAsia="Malgun Gothic"/>
          <w:lang w:eastAsia="ko-KR"/>
        </w:rPr>
        <w:t xml:space="preserve">various design </w:t>
      </w:r>
      <w:r w:rsidR="006F22CE" w:rsidRPr="00CA5CB1">
        <w:rPr>
          <w:rFonts w:eastAsia="Malgun Gothic"/>
          <w:lang w:eastAsia="ko-KR"/>
        </w:rPr>
        <w:t xml:space="preserve">details </w:t>
      </w:r>
      <w:r w:rsidR="005E5209" w:rsidRPr="00CA5CB1">
        <w:rPr>
          <w:rFonts w:eastAsia="Malgun Gothic"/>
          <w:lang w:eastAsia="ko-KR"/>
        </w:rPr>
        <w:t>for further UE complexity reduction over Rel-17 RedCap UE</w:t>
      </w:r>
      <w:r w:rsidR="006F22CE" w:rsidRPr="00CA5CB1">
        <w:rPr>
          <w:rFonts w:eastAsia="Malgun Gothic"/>
          <w:lang w:eastAsia="ko-KR"/>
        </w:rPr>
        <w:t>.</w:t>
      </w:r>
      <w:r w:rsidR="00927D12" w:rsidRPr="00CA5CB1">
        <w:rPr>
          <w:rFonts w:eastAsia="Malgun Gothic"/>
          <w:lang w:eastAsia="ko-KR"/>
        </w:rPr>
        <w:t xml:space="preserve"> </w:t>
      </w:r>
    </w:p>
    <w:p w14:paraId="2DBEC0DA" w14:textId="0B1F290A" w:rsidR="009C1962" w:rsidRPr="004D44F0" w:rsidRDefault="00927D12" w:rsidP="006028C8">
      <w:pPr>
        <w:pStyle w:val="Heading1"/>
        <w:keepLines/>
        <w:numPr>
          <w:ilvl w:val="0"/>
          <w:numId w:val="1"/>
        </w:numPr>
        <w:pBdr>
          <w:top w:val="single" w:sz="12" w:space="4" w:color="auto"/>
        </w:pBdr>
        <w:overflowPunct w:val="0"/>
        <w:snapToGrid/>
        <w:spacing w:before="240"/>
        <w:textAlignment w:val="baseline"/>
        <w:rPr>
          <w:rFonts w:ascii="Arial" w:hAnsi="Arial"/>
          <w:b w:val="0"/>
          <w:bCs w:val="0"/>
          <w:sz w:val="36"/>
          <w:szCs w:val="20"/>
        </w:rPr>
      </w:pPr>
      <w:r w:rsidRPr="004D44F0">
        <w:rPr>
          <w:rFonts w:ascii="Arial" w:hAnsi="Arial"/>
          <w:b w:val="0"/>
          <w:bCs w:val="0"/>
          <w:sz w:val="36"/>
          <w:szCs w:val="20"/>
        </w:rPr>
        <w:t xml:space="preserve">UE </w:t>
      </w:r>
      <w:r w:rsidR="00B32E47" w:rsidRPr="004D44F0">
        <w:rPr>
          <w:rFonts w:ascii="Arial" w:hAnsi="Arial"/>
          <w:b w:val="0"/>
          <w:bCs w:val="0"/>
          <w:sz w:val="36"/>
          <w:szCs w:val="20"/>
        </w:rPr>
        <w:t>complexity</w:t>
      </w:r>
      <w:r w:rsidRPr="004D44F0">
        <w:rPr>
          <w:rFonts w:ascii="Arial" w:hAnsi="Arial"/>
          <w:b w:val="0"/>
          <w:bCs w:val="0"/>
          <w:sz w:val="36"/>
          <w:szCs w:val="20"/>
        </w:rPr>
        <w:t xml:space="preserve"> reduction</w:t>
      </w:r>
    </w:p>
    <w:p w14:paraId="3187B29F" w14:textId="54F9AEDB" w:rsidR="00802B3F" w:rsidRPr="004D44F0" w:rsidRDefault="004E4567" w:rsidP="004E4567">
      <w:pPr>
        <w:pStyle w:val="B2"/>
        <w:spacing w:after="160" w:line="256" w:lineRule="auto"/>
        <w:ind w:left="0" w:firstLine="0"/>
        <w:rPr>
          <w:rFonts w:eastAsia="Times New Roman"/>
          <w:sz w:val="22"/>
          <w:szCs w:val="22"/>
        </w:rPr>
      </w:pPr>
      <w:r w:rsidRPr="004D44F0">
        <w:rPr>
          <w:rFonts w:eastAsia="Times New Roman"/>
          <w:sz w:val="22"/>
          <w:szCs w:val="22"/>
        </w:rPr>
        <w:t xml:space="preserve">In RAN1#100b-e meeting, the maximum number of RPBs for PUSCH and PDSCH that can be transmitted or processed by UE was discussed and 4 options were identified to limit BB to 5MHz. </w:t>
      </w:r>
    </w:p>
    <w:tbl>
      <w:tblPr>
        <w:tblStyle w:val="TableGrid"/>
        <w:tblW w:w="0" w:type="auto"/>
        <w:tblLook w:val="04A0" w:firstRow="1" w:lastRow="0" w:firstColumn="1" w:lastColumn="0" w:noHBand="0" w:noVBand="1"/>
      </w:tblPr>
      <w:tblGrid>
        <w:gridCol w:w="9350"/>
      </w:tblGrid>
      <w:tr w:rsidR="004D44F0" w:rsidRPr="004D44F0" w14:paraId="368848A8" w14:textId="77777777" w:rsidTr="004E4567">
        <w:tc>
          <w:tcPr>
            <w:tcW w:w="9350" w:type="dxa"/>
          </w:tcPr>
          <w:p w14:paraId="25582D4C" w14:textId="77777777" w:rsidR="004E4567" w:rsidRPr="004D44F0" w:rsidRDefault="004E4567" w:rsidP="004E4567">
            <w:pPr>
              <w:numPr>
                <w:ilvl w:val="0"/>
                <w:numId w:val="30"/>
              </w:numPr>
              <w:autoSpaceDE/>
              <w:autoSpaceDN/>
              <w:adjustRightInd/>
              <w:snapToGrid/>
              <w:spacing w:after="0"/>
              <w:jc w:val="left"/>
            </w:pPr>
            <w:r w:rsidRPr="004D44F0">
              <w:t>Option 1: 28 PRBs for 15 kHz SCS and 14 PRBs for 30 kHz SCS</w:t>
            </w:r>
          </w:p>
          <w:p w14:paraId="42CE9566" w14:textId="77777777" w:rsidR="004E4567" w:rsidRPr="004D44F0" w:rsidRDefault="004E4567" w:rsidP="004E4567">
            <w:pPr>
              <w:numPr>
                <w:ilvl w:val="0"/>
                <w:numId w:val="30"/>
              </w:numPr>
              <w:autoSpaceDE/>
              <w:autoSpaceDN/>
              <w:adjustRightInd/>
              <w:snapToGrid/>
              <w:spacing w:after="0"/>
              <w:jc w:val="left"/>
            </w:pPr>
            <w:r w:rsidRPr="004D44F0">
              <w:t>Option 2: 27 PRBs for 15 kHz SCS and 13 PRBs for 30 kHz SCS</w:t>
            </w:r>
          </w:p>
          <w:p w14:paraId="0A464D43" w14:textId="77777777" w:rsidR="004E4567" w:rsidRPr="004D44F0" w:rsidRDefault="004E4567" w:rsidP="004E4567">
            <w:pPr>
              <w:numPr>
                <w:ilvl w:val="0"/>
                <w:numId w:val="30"/>
              </w:numPr>
              <w:autoSpaceDE/>
              <w:autoSpaceDN/>
              <w:adjustRightInd/>
              <w:snapToGrid/>
              <w:spacing w:after="0"/>
              <w:jc w:val="left"/>
            </w:pPr>
            <w:r w:rsidRPr="004D44F0">
              <w:t>Option 3: 25 PRBs for 15 kHz SCS and 12 PRBs for 30 kHz SCS</w:t>
            </w:r>
          </w:p>
          <w:p w14:paraId="1AE74D2C" w14:textId="43F39B1F" w:rsidR="004E4567" w:rsidRPr="004D44F0" w:rsidRDefault="004E4567" w:rsidP="004E4567">
            <w:pPr>
              <w:numPr>
                <w:ilvl w:val="0"/>
                <w:numId w:val="30"/>
              </w:numPr>
              <w:autoSpaceDE/>
              <w:autoSpaceDN/>
              <w:adjustRightInd/>
              <w:snapToGrid/>
              <w:spacing w:after="0"/>
              <w:jc w:val="left"/>
            </w:pPr>
            <w:r w:rsidRPr="004D44F0">
              <w:t>Option 4: 25 PRBs for 15 kHz SCS and 11 PRBs for 30 kHz SCS</w:t>
            </w:r>
          </w:p>
        </w:tc>
      </w:tr>
    </w:tbl>
    <w:p w14:paraId="37BB8379" w14:textId="77777777" w:rsidR="004E4567" w:rsidRPr="004D44F0" w:rsidRDefault="004E4567" w:rsidP="004E4567">
      <w:pPr>
        <w:pStyle w:val="B2"/>
        <w:spacing w:after="160" w:line="256" w:lineRule="auto"/>
        <w:ind w:left="0" w:firstLine="0"/>
        <w:rPr>
          <w:rFonts w:eastAsia="Times New Roman"/>
          <w:sz w:val="22"/>
          <w:szCs w:val="22"/>
        </w:rPr>
      </w:pPr>
    </w:p>
    <w:p w14:paraId="5A00CCEF" w14:textId="1A63DFF2" w:rsidR="004E4567" w:rsidRPr="004D44F0" w:rsidRDefault="004E4567" w:rsidP="00015410">
      <w:pPr>
        <w:rPr>
          <w:rFonts w:eastAsia="Times New Roman"/>
        </w:rPr>
      </w:pPr>
      <w:r w:rsidRPr="004D44F0">
        <w:rPr>
          <w:rFonts w:eastAsia="Times New Roman"/>
        </w:rPr>
        <w:t xml:space="preserve">The maximum numbers of PRBs have a linear impact on the supportable peak data rate. On the other hand, the larger maximum numbers will also increase the UE complexity. </w:t>
      </w:r>
      <w:r w:rsidR="00774EA0" w:rsidRPr="004D44F0">
        <w:rPr>
          <w:rFonts w:eastAsia="Times New Roman"/>
        </w:rPr>
        <w:t xml:space="preserve">Option 4 is the baseline assumed in the </w:t>
      </w:r>
      <w:r w:rsidR="00774EA0" w:rsidRPr="004D44F0">
        <w:rPr>
          <w:rFonts w:eastAsia="Times New Roman"/>
        </w:rPr>
        <w:lastRenderedPageBreak/>
        <w:t xml:space="preserve">SI phase. </w:t>
      </w:r>
      <w:r w:rsidRPr="004D44F0">
        <w:rPr>
          <w:rFonts w:eastAsia="Times New Roman"/>
        </w:rPr>
        <w:t xml:space="preserve">All 4 options can meet the target peak data rate </w:t>
      </w:r>
      <w:r w:rsidR="00774EA0" w:rsidRPr="004D44F0">
        <w:rPr>
          <w:rFonts w:eastAsia="Times New Roman"/>
        </w:rPr>
        <w:t xml:space="preserve">of 10Mbps </w:t>
      </w:r>
      <w:r w:rsidRPr="004D44F0">
        <w:rPr>
          <w:rFonts w:eastAsia="Times New Roman"/>
        </w:rPr>
        <w:t xml:space="preserve">as defined in </w:t>
      </w:r>
      <w:r w:rsidR="00774EA0" w:rsidRPr="004D44F0">
        <w:rPr>
          <w:rFonts w:eastAsia="Times New Roman"/>
        </w:rPr>
        <w:t>the W</w:t>
      </w:r>
      <w:r w:rsidRPr="004D44F0">
        <w:rPr>
          <w:rFonts w:eastAsia="Times New Roman"/>
        </w:rPr>
        <w:t>ID</w:t>
      </w:r>
      <w:r w:rsidR="00774EA0" w:rsidRPr="004D44F0">
        <w:rPr>
          <w:rFonts w:eastAsia="Times New Roman"/>
        </w:rPr>
        <w:t xml:space="preserve">. The target peak data rate is achievable by 10 PRBs when DFT-S-OFDM applies to PUSCH. Therefore, we believe Option 4 should be confirmed. Further, it is preferred the same limitation applies to both unicast PDSCH and broadcast PDSCH for a unified UE implementation. </w:t>
      </w:r>
      <w:r w:rsidR="009F1F6A" w:rsidRPr="004D44F0">
        <w:rPr>
          <w:rFonts w:eastAsia="Times New Roman"/>
        </w:rPr>
        <w:t xml:space="preserve">Specifically, when gNB schedules a larger number of PRBs for a broadcast PDSCH, e.g., SIB1/broadcast OSI, eRedCap UE can only do a partial reception of the broadcast PDSCH. </w:t>
      </w:r>
      <w:r w:rsidR="00774EA0" w:rsidRPr="004D44F0">
        <w:rPr>
          <w:rFonts w:eastAsia="Times New Roman"/>
        </w:rPr>
        <w:t xml:space="preserve"> </w:t>
      </w:r>
    </w:p>
    <w:p w14:paraId="2C93BF2E" w14:textId="77777777" w:rsidR="004E4567" w:rsidRPr="004D44F0" w:rsidRDefault="004E4567" w:rsidP="00015410">
      <w:pPr>
        <w:rPr>
          <w:rFonts w:eastAsia="Times New Roman"/>
        </w:rPr>
      </w:pPr>
    </w:p>
    <w:p w14:paraId="6F5A62F5" w14:textId="00AB6208" w:rsidR="009B379E" w:rsidRPr="004D44F0" w:rsidRDefault="009B379E" w:rsidP="009B379E">
      <w:r w:rsidRPr="004D44F0">
        <w:rPr>
          <w:b/>
          <w:bCs/>
        </w:rPr>
        <w:t>Proposal 1:</w:t>
      </w:r>
      <w:r w:rsidRPr="004D44F0">
        <w:t xml:space="preserve"> </w:t>
      </w:r>
    </w:p>
    <w:p w14:paraId="79933EEC" w14:textId="61D95E5C" w:rsidR="009B379E" w:rsidRPr="0076269B" w:rsidRDefault="00774EA0" w:rsidP="009B379E">
      <w:pPr>
        <w:pStyle w:val="ListParagraph"/>
        <w:numPr>
          <w:ilvl w:val="0"/>
          <w:numId w:val="4"/>
        </w:numPr>
      </w:pPr>
      <w:r w:rsidRPr="004D44F0">
        <w:rPr>
          <w:rFonts w:eastAsia="Times New Roman"/>
        </w:rPr>
        <w:t>Agree on Option 4 to define t</w:t>
      </w:r>
      <w:r w:rsidR="009B379E" w:rsidRPr="004D44F0">
        <w:rPr>
          <w:rFonts w:eastAsia="Times New Roman"/>
        </w:rPr>
        <w:t xml:space="preserve">he maximum number of PRBs </w:t>
      </w:r>
      <w:r w:rsidRPr="004D44F0">
        <w:rPr>
          <w:rFonts w:eastAsia="Times New Roman"/>
        </w:rPr>
        <w:t>for PUSCH</w:t>
      </w:r>
      <w:r w:rsidRPr="004D44F0">
        <w:t xml:space="preserve"> per slot or per hop, if applicable</w:t>
      </w:r>
      <w:r w:rsidRPr="004D44F0">
        <w:rPr>
          <w:rFonts w:eastAsia="Times New Roman"/>
        </w:rPr>
        <w:t xml:space="preserve"> and unicast/broadcast PDSCH per slot</w:t>
      </w:r>
      <w:r w:rsidR="009B379E" w:rsidRPr="004D44F0">
        <w:rPr>
          <w:rFonts w:eastAsia="Times New Roman"/>
        </w:rPr>
        <w:t xml:space="preserve">. </w:t>
      </w:r>
    </w:p>
    <w:p w14:paraId="60371EFE" w14:textId="3DACE2B2" w:rsidR="0076269B" w:rsidRPr="004D44F0" w:rsidRDefault="0076269B" w:rsidP="0076269B">
      <w:pPr>
        <w:pStyle w:val="ListParagraph"/>
        <w:numPr>
          <w:ilvl w:val="1"/>
          <w:numId w:val="4"/>
        </w:numPr>
      </w:pPr>
      <w:r w:rsidRPr="004D44F0">
        <w:t>Option 4: 25 PRBs for 15 kHz SCS and 11 PRBs for 30 kHz SCS</w:t>
      </w:r>
    </w:p>
    <w:p w14:paraId="5ABCBC94" w14:textId="77777777" w:rsidR="009B379E" w:rsidRPr="004D44F0" w:rsidRDefault="009B379E" w:rsidP="00E061B9">
      <w:pPr>
        <w:spacing w:after="0"/>
      </w:pPr>
    </w:p>
    <w:p w14:paraId="13745CD7" w14:textId="7CF3C992" w:rsidR="009B379E" w:rsidRPr="00CA5CB1" w:rsidRDefault="00E061B9" w:rsidP="00E061B9">
      <w:pPr>
        <w:spacing w:after="0"/>
      </w:pPr>
      <w:r w:rsidRPr="004D44F0">
        <w:t xml:space="preserve">In TS 38.306, </w:t>
      </w:r>
      <w:r w:rsidR="009B379E" w:rsidRPr="004D44F0">
        <w:t>the peak data rate for a UE is specified. To calculate the peak data rate for a UE</w:t>
      </w:r>
      <w:r w:rsidR="00776A76" w:rsidRPr="004D44F0">
        <w:t xml:space="preserve">, it is </w:t>
      </w:r>
      <w:r w:rsidR="00776A76" w:rsidRPr="00CA5CB1">
        <w:t xml:space="preserve">straightforward that </w:t>
      </w:r>
      <m:oMath>
        <m:sSubSup>
          <m:sSubSupPr>
            <m:ctrlPr>
              <w:rPr>
                <w:rFonts w:ascii="Cambria Math" w:hAnsi="Cambria Math"/>
                <w:i/>
              </w:rPr>
            </m:ctrlPr>
          </m:sSubSupPr>
          <m:e>
            <m:r>
              <w:rPr>
                <w:rFonts w:ascii="Cambria Math"/>
              </w:rPr>
              <m:t>N</m:t>
            </m:r>
          </m:e>
          <m:sub>
            <m:r>
              <w:rPr>
                <w:rFonts w:ascii="Cambria Math"/>
              </w:rPr>
              <m:t>PRB</m:t>
            </m:r>
          </m:sub>
          <m:sup>
            <m:r>
              <w:rPr>
                <w:rFonts w:ascii="Cambria Math"/>
              </w:rPr>
              <m:t>BW</m:t>
            </m:r>
            <m:d>
              <m:dPr>
                <m:ctrlPr>
                  <w:rPr>
                    <w:rFonts w:ascii="Cambria Math" w:hAnsi="Cambria Math"/>
                    <w:i/>
                  </w:rPr>
                </m:ctrlPr>
              </m:dPr>
              <m:e>
                <m:r>
                  <w:rPr>
                    <w:rFonts w:ascii="Cambria Math"/>
                  </w:rPr>
                  <m:t>j</m:t>
                </m:r>
              </m:e>
            </m:d>
            <m:r>
              <w:rPr>
                <w:rFonts w:ascii="Cambria Math"/>
              </w:rPr>
              <m:t>,μ</m:t>
            </m:r>
          </m:sup>
        </m:sSubSup>
        <m:r>
          <w:rPr>
            <w:rFonts w:ascii="Cambria Math"/>
          </w:rPr>
          <m:t>=25 or 11</m:t>
        </m:r>
      </m:oMath>
      <w:r w:rsidR="00776A76" w:rsidRPr="00CA5CB1">
        <w:t xml:space="preserve"> is used in the calculation for SCS 15 or 30kHz respectively. </w:t>
      </w:r>
    </w:p>
    <w:p w14:paraId="77CF9E99" w14:textId="77777777" w:rsidR="009B379E" w:rsidRPr="00CA5CB1" w:rsidRDefault="009B379E" w:rsidP="00E061B9">
      <w:pPr>
        <w:spacing w:after="0"/>
      </w:pPr>
    </w:p>
    <w:tbl>
      <w:tblPr>
        <w:tblStyle w:val="TableGrid"/>
        <w:tblW w:w="0" w:type="auto"/>
        <w:tblLook w:val="04A0" w:firstRow="1" w:lastRow="0" w:firstColumn="1" w:lastColumn="0" w:noHBand="0" w:noVBand="1"/>
      </w:tblPr>
      <w:tblGrid>
        <w:gridCol w:w="9350"/>
      </w:tblGrid>
      <w:tr w:rsidR="009B379E" w:rsidRPr="00CA5CB1" w14:paraId="58CF3888" w14:textId="77777777" w:rsidTr="009B379E">
        <w:tc>
          <w:tcPr>
            <w:tcW w:w="9350" w:type="dxa"/>
          </w:tcPr>
          <w:p w14:paraId="1B959A17" w14:textId="77777777" w:rsidR="009B379E" w:rsidRPr="00CA5CB1" w:rsidRDefault="009B379E" w:rsidP="009B379E">
            <w:pPr>
              <w:spacing w:after="0"/>
              <w:rPr>
                <w:sz w:val="22"/>
                <w:szCs w:val="22"/>
              </w:rPr>
            </w:pPr>
            <w:r w:rsidRPr="00CA5CB1">
              <w:rPr>
                <w:sz w:val="22"/>
                <w:szCs w:val="22"/>
              </w:rPr>
              <w:t>For NR, the approximate data rate for a given number of aggregated carriers in a band or band combination is computed as follows.</w:t>
            </w:r>
          </w:p>
          <w:p w14:paraId="554535A7" w14:textId="39FB8046" w:rsidR="009B379E" w:rsidRPr="00CA5CB1" w:rsidRDefault="009B379E" w:rsidP="009B379E">
            <w:pPr>
              <w:pStyle w:val="EQ"/>
              <w:jc w:val="center"/>
              <w:rPr>
                <w:sz w:val="22"/>
                <w:szCs w:val="22"/>
              </w:rPr>
            </w:pPr>
            <m:oMathPara>
              <m:oMath>
                <m:r>
                  <m:rPr>
                    <m:nor/>
                  </m:rPr>
                  <w:rPr>
                    <w:rFonts w:ascii="Cambria Math"/>
                    <w:sz w:val="22"/>
                    <w:szCs w:val="22"/>
                  </w:rPr>
                  <m:t xml:space="preserve">data rate </m:t>
                </m:r>
                <m:r>
                  <m:rPr>
                    <m:sty m:val="p"/>
                  </m:rPr>
                  <w:rPr>
                    <w:rFonts w:ascii="Cambria Math"/>
                    <w:sz w:val="22"/>
                    <w:szCs w:val="22"/>
                  </w:rPr>
                  <m:t>(</m:t>
                </m:r>
                <m:r>
                  <m:rPr>
                    <m:nor/>
                  </m:rPr>
                  <w:rPr>
                    <w:rFonts w:ascii="Cambria Math"/>
                    <w:sz w:val="22"/>
                    <w:szCs w:val="22"/>
                  </w:rPr>
                  <m:t>in Mbps</m:t>
                </m:r>
                <m:r>
                  <m:rPr>
                    <m:sty m:val="p"/>
                  </m:rPr>
                  <w:rPr>
                    <w:rFonts w:ascii="Cambria Math"/>
                    <w:sz w:val="22"/>
                    <w:szCs w:val="22"/>
                  </w:rPr>
                  <m:t>)=1</m:t>
                </m:r>
                <m:sSup>
                  <m:sSupPr>
                    <m:ctrlPr>
                      <w:rPr>
                        <w:rFonts w:ascii="Cambria Math" w:hAnsi="Cambria Math"/>
                        <w:sz w:val="22"/>
                        <w:szCs w:val="22"/>
                      </w:rPr>
                    </m:ctrlPr>
                  </m:sSupPr>
                  <m:e>
                    <m:r>
                      <m:rPr>
                        <m:sty m:val="p"/>
                      </m:rPr>
                      <w:rPr>
                        <w:rFonts w:ascii="Cambria Math"/>
                        <w:sz w:val="22"/>
                        <w:szCs w:val="22"/>
                      </w:rPr>
                      <m:t>0</m:t>
                    </m:r>
                  </m:e>
                  <m:sup>
                    <m:r>
                      <w:rPr>
                        <w:rFonts w:ascii="Cambria Math"/>
                        <w:sz w:val="22"/>
                        <w:szCs w:val="22"/>
                      </w:rPr>
                      <m:t>-</m:t>
                    </m:r>
                    <m:r>
                      <w:rPr>
                        <w:rFonts w:ascii="Cambria Math"/>
                        <w:sz w:val="22"/>
                        <w:szCs w:val="22"/>
                      </w:rPr>
                      <m:t>6</m:t>
                    </m:r>
                    <m:ctrlPr>
                      <w:rPr>
                        <w:rFonts w:ascii="Cambria Math" w:hAnsi="Cambria Math"/>
                        <w:i/>
                        <w:sz w:val="22"/>
                        <w:szCs w:val="22"/>
                      </w:rPr>
                    </m:ctrlPr>
                  </m:sup>
                </m:sSup>
                <m:r>
                  <w:rPr>
                    <w:rFonts w:ascii="Cambria Math" w:hAnsi="Cambria Math" w:cs="Cambria Math"/>
                    <w:sz w:val="22"/>
                    <w:szCs w:val="22"/>
                  </w:rPr>
                  <m:t>⋅</m:t>
                </m:r>
                <m:nary>
                  <m:naryPr>
                    <m:chr m:val="∑"/>
                    <m:ctrlPr>
                      <w:rPr>
                        <w:rFonts w:ascii="Cambria Math" w:hAnsi="Cambria Math"/>
                        <w:i/>
                        <w:sz w:val="22"/>
                        <w:szCs w:val="22"/>
                      </w:rPr>
                    </m:ctrlPr>
                  </m:naryPr>
                  <m:sub>
                    <m:r>
                      <w:rPr>
                        <w:rFonts w:ascii="Cambria Math"/>
                        <w:sz w:val="22"/>
                        <w:szCs w:val="22"/>
                      </w:rPr>
                      <m:t>j=1</m:t>
                    </m:r>
                  </m:sub>
                  <m:sup>
                    <m:r>
                      <w:rPr>
                        <w:rFonts w:ascii="Cambria Math"/>
                        <w:sz w:val="22"/>
                        <w:szCs w:val="22"/>
                      </w:rPr>
                      <m:t>J</m:t>
                    </m:r>
                  </m:sup>
                  <m:e>
                    <m:d>
                      <m:dPr>
                        <m:ctrlPr>
                          <w:rPr>
                            <w:rFonts w:ascii="Cambria Math" w:hAnsi="Cambria Math"/>
                            <w:i/>
                            <w:sz w:val="22"/>
                            <w:szCs w:val="22"/>
                          </w:rPr>
                        </m:ctrlPr>
                      </m:dPr>
                      <m:e>
                        <m:sSubSup>
                          <m:sSubSupPr>
                            <m:ctrlPr>
                              <w:rPr>
                                <w:rFonts w:ascii="Cambria Math" w:hAnsi="Cambria Math"/>
                                <w:i/>
                                <w:sz w:val="22"/>
                                <w:szCs w:val="22"/>
                              </w:rPr>
                            </m:ctrlPr>
                          </m:sSubSupPr>
                          <m:e>
                            <m:r>
                              <w:rPr>
                                <w:rFonts w:ascii="Cambria Math"/>
                                <w:sz w:val="22"/>
                                <w:szCs w:val="22"/>
                              </w:rPr>
                              <m:t>v</m:t>
                            </m:r>
                          </m:e>
                          <m:sub>
                            <m:r>
                              <w:rPr>
                                <w:rFonts w:ascii="Cambria Math"/>
                                <w:sz w:val="22"/>
                                <w:szCs w:val="22"/>
                              </w:rPr>
                              <m:t>Layers</m:t>
                            </m:r>
                          </m:sub>
                          <m:sup>
                            <m:r>
                              <w:rPr>
                                <w:rFonts w:ascii="Cambria Math"/>
                                <w:sz w:val="22"/>
                                <w:szCs w:val="22"/>
                              </w:rPr>
                              <m:t>(j)</m:t>
                            </m:r>
                          </m:sup>
                        </m:sSubSup>
                        <m:r>
                          <w:rPr>
                            <w:rFonts w:ascii="Cambria Math" w:hAnsi="Cambria Math" w:cs="Cambria Math"/>
                            <w:sz w:val="22"/>
                            <w:szCs w:val="22"/>
                          </w:rPr>
                          <m:t>⋅</m:t>
                        </m:r>
                        <m:sSubSup>
                          <m:sSubSupPr>
                            <m:ctrlPr>
                              <w:rPr>
                                <w:rFonts w:ascii="Cambria Math" w:hAnsi="Cambria Math"/>
                                <w:i/>
                                <w:sz w:val="22"/>
                                <w:szCs w:val="22"/>
                              </w:rPr>
                            </m:ctrlPr>
                          </m:sSubSupPr>
                          <m:e>
                            <m:r>
                              <w:rPr>
                                <w:rFonts w:ascii="Cambria Math"/>
                                <w:sz w:val="22"/>
                                <w:szCs w:val="22"/>
                              </w:rPr>
                              <m:t>Q</m:t>
                            </m:r>
                          </m:e>
                          <m:sub>
                            <m:r>
                              <w:rPr>
                                <w:rFonts w:ascii="Cambria Math"/>
                                <w:sz w:val="22"/>
                                <w:szCs w:val="22"/>
                              </w:rPr>
                              <m:t>m</m:t>
                            </m:r>
                          </m:sub>
                          <m:sup>
                            <m:r>
                              <w:rPr>
                                <w:rFonts w:ascii="Cambria Math"/>
                                <w:sz w:val="22"/>
                                <w:szCs w:val="22"/>
                              </w:rPr>
                              <m:t>(j)</m:t>
                            </m:r>
                          </m:sup>
                        </m:sSubSup>
                        <m:r>
                          <w:rPr>
                            <w:rFonts w:ascii="Cambria Math" w:hAnsi="Cambria Math" w:cs="Cambria Math"/>
                            <w:sz w:val="22"/>
                            <w:szCs w:val="22"/>
                          </w:rPr>
                          <m:t>⋅</m:t>
                        </m:r>
                        <m:sSubSup>
                          <m:sSubSupPr>
                            <m:ctrlPr>
                              <w:rPr>
                                <w:rFonts w:ascii="Cambria Math" w:hAnsi="Cambria Math"/>
                                <w:i/>
                                <w:sz w:val="22"/>
                                <w:szCs w:val="22"/>
                              </w:rPr>
                            </m:ctrlPr>
                          </m:sSubSupPr>
                          <m:e>
                            <m:r>
                              <w:rPr>
                                <w:rFonts w:ascii="Cambria Math"/>
                                <w:sz w:val="22"/>
                                <w:szCs w:val="22"/>
                              </w:rPr>
                              <m:t>f</m:t>
                            </m:r>
                          </m:e>
                          <m:sub/>
                          <m:sup>
                            <m:r>
                              <w:rPr>
                                <w:rFonts w:ascii="Cambria Math"/>
                                <w:sz w:val="22"/>
                                <w:szCs w:val="22"/>
                              </w:rPr>
                              <m:t>(j)</m:t>
                            </m:r>
                          </m:sup>
                        </m:sSubSup>
                        <m:r>
                          <w:rPr>
                            <w:rFonts w:ascii="Cambria Math" w:hAnsi="Cambria Math" w:cs="Cambria Math"/>
                            <w:sz w:val="22"/>
                            <w:szCs w:val="22"/>
                          </w:rPr>
                          <m:t>⋅</m:t>
                        </m:r>
                        <m:sSub>
                          <m:sSubPr>
                            <m:ctrlPr>
                              <w:rPr>
                                <w:rFonts w:ascii="Cambria Math" w:hAnsi="Cambria Math"/>
                                <w:i/>
                                <w:sz w:val="22"/>
                                <w:szCs w:val="22"/>
                              </w:rPr>
                            </m:ctrlPr>
                          </m:sSubPr>
                          <m:e>
                            <m:r>
                              <w:rPr>
                                <w:rFonts w:ascii="Cambria Math"/>
                                <w:sz w:val="22"/>
                                <w:szCs w:val="22"/>
                              </w:rPr>
                              <m:t>R</m:t>
                            </m:r>
                          </m:e>
                          <m:sub>
                            <m:r>
                              <w:rPr>
                                <w:rFonts w:ascii="Cambria Math"/>
                                <w:sz w:val="22"/>
                                <w:szCs w:val="22"/>
                              </w:rPr>
                              <m:t>max</m:t>
                            </m:r>
                          </m:sub>
                        </m:sSub>
                        <m:r>
                          <w:rPr>
                            <w:rFonts w:ascii="Cambria Math" w:hAnsi="Cambria Math" w:cs="Cambria Math"/>
                            <w:sz w:val="22"/>
                            <w:szCs w:val="22"/>
                          </w:rPr>
                          <m:t>⋅</m:t>
                        </m:r>
                        <m:f>
                          <m:fPr>
                            <m:ctrlPr>
                              <w:rPr>
                                <w:rFonts w:ascii="Cambria Math" w:hAnsi="Cambria Math"/>
                                <w:i/>
                                <w:sz w:val="22"/>
                                <w:szCs w:val="22"/>
                              </w:rPr>
                            </m:ctrlPr>
                          </m:fPr>
                          <m:num>
                            <m:sSubSup>
                              <m:sSubSupPr>
                                <m:ctrlPr>
                                  <w:rPr>
                                    <w:rFonts w:ascii="Cambria Math" w:hAnsi="Cambria Math"/>
                                    <w:i/>
                                    <w:sz w:val="22"/>
                                    <w:szCs w:val="22"/>
                                  </w:rPr>
                                </m:ctrlPr>
                              </m:sSubSupPr>
                              <m:e>
                                <m:r>
                                  <w:rPr>
                                    <w:rFonts w:ascii="Cambria Math"/>
                                    <w:sz w:val="22"/>
                                    <w:szCs w:val="22"/>
                                  </w:rPr>
                                  <m:t>N</m:t>
                                </m:r>
                              </m:e>
                              <m:sub>
                                <m:r>
                                  <w:rPr>
                                    <w:rFonts w:ascii="Cambria Math"/>
                                    <w:sz w:val="22"/>
                                    <w:szCs w:val="22"/>
                                  </w:rPr>
                                  <m:t>PRB</m:t>
                                </m:r>
                              </m:sub>
                              <m:sup>
                                <m:r>
                                  <w:rPr>
                                    <w:rFonts w:ascii="Cambria Math"/>
                                    <w:sz w:val="22"/>
                                    <w:szCs w:val="22"/>
                                  </w:rPr>
                                  <m:t>BW(j),μ</m:t>
                                </m:r>
                              </m:sup>
                            </m:sSubSup>
                            <m:r>
                              <w:rPr>
                                <w:rFonts w:ascii="Cambria Math" w:hAnsi="Cambria Math" w:cs="Cambria Math"/>
                                <w:sz w:val="22"/>
                                <w:szCs w:val="22"/>
                              </w:rPr>
                              <m:t>⋅</m:t>
                            </m:r>
                            <m:r>
                              <w:rPr>
                                <w:rFonts w:ascii="Cambria Math"/>
                                <w:sz w:val="22"/>
                                <w:szCs w:val="22"/>
                              </w:rPr>
                              <m:t>12</m:t>
                            </m:r>
                          </m:num>
                          <m:den>
                            <m:sSubSup>
                              <m:sSubSupPr>
                                <m:ctrlPr>
                                  <w:rPr>
                                    <w:rFonts w:ascii="Cambria Math" w:hAnsi="Cambria Math"/>
                                    <w:i/>
                                    <w:sz w:val="22"/>
                                    <w:szCs w:val="22"/>
                                  </w:rPr>
                                </m:ctrlPr>
                              </m:sSubSupPr>
                              <m:e>
                                <m:r>
                                  <w:rPr>
                                    <w:rFonts w:ascii="Cambria Math"/>
                                    <w:sz w:val="22"/>
                                    <w:szCs w:val="22"/>
                                  </w:rPr>
                                  <m:t>T</m:t>
                                </m:r>
                              </m:e>
                              <m:sub>
                                <m:r>
                                  <w:rPr>
                                    <w:rFonts w:ascii="Cambria Math"/>
                                    <w:sz w:val="22"/>
                                    <w:szCs w:val="22"/>
                                  </w:rPr>
                                  <m:t>s</m:t>
                                </m:r>
                              </m:sub>
                              <m:sup>
                                <m:r>
                                  <w:rPr>
                                    <w:rFonts w:ascii="Cambria Math"/>
                                    <w:sz w:val="22"/>
                                    <w:szCs w:val="22"/>
                                  </w:rPr>
                                  <m:t>μ</m:t>
                                </m:r>
                              </m:sup>
                            </m:sSubSup>
                          </m:den>
                        </m:f>
                        <m:d>
                          <m:dPr>
                            <m:ctrlPr>
                              <w:rPr>
                                <w:rFonts w:ascii="Cambria Math" w:hAnsi="Cambria Math"/>
                                <w:i/>
                                <w:sz w:val="22"/>
                                <w:szCs w:val="22"/>
                              </w:rPr>
                            </m:ctrlPr>
                          </m:dPr>
                          <m:e>
                            <m:r>
                              <w:rPr>
                                <w:rFonts w:ascii="Cambria Math"/>
                                <w:sz w:val="22"/>
                                <w:szCs w:val="22"/>
                              </w:rPr>
                              <m:t>1</m:t>
                            </m:r>
                            <m:r>
                              <w:rPr>
                                <w:rFonts w:ascii="Cambria Math"/>
                                <w:sz w:val="22"/>
                                <w:szCs w:val="22"/>
                              </w:rPr>
                              <m:t>-</m:t>
                            </m:r>
                            <m:r>
                              <w:rPr>
                                <w:rFonts w:ascii="Cambria Math"/>
                                <w:sz w:val="22"/>
                                <w:szCs w:val="22"/>
                              </w:rPr>
                              <m:t>O</m:t>
                            </m:r>
                            <m:sSup>
                              <m:sSupPr>
                                <m:ctrlPr>
                                  <w:rPr>
                                    <w:rFonts w:ascii="Cambria Math" w:hAnsi="Cambria Math"/>
                                    <w:i/>
                                    <w:sz w:val="22"/>
                                    <w:szCs w:val="22"/>
                                  </w:rPr>
                                </m:ctrlPr>
                              </m:sSupPr>
                              <m:e>
                                <m:r>
                                  <w:rPr>
                                    <w:rFonts w:ascii="Cambria Math"/>
                                    <w:sz w:val="22"/>
                                    <w:szCs w:val="22"/>
                                  </w:rPr>
                                  <m:t>H</m:t>
                                </m:r>
                              </m:e>
                              <m:sup>
                                <m:r>
                                  <w:rPr>
                                    <w:rFonts w:ascii="Cambria Math"/>
                                    <w:sz w:val="22"/>
                                    <w:szCs w:val="22"/>
                                  </w:rPr>
                                  <m:t>(j)</m:t>
                                </m:r>
                              </m:sup>
                            </m:sSup>
                          </m:e>
                        </m:d>
                      </m:e>
                    </m:d>
                  </m:e>
                </m:nary>
              </m:oMath>
            </m:oMathPara>
          </w:p>
          <w:p w14:paraId="5B282494" w14:textId="77777777" w:rsidR="009B379E" w:rsidRPr="00CA5CB1" w:rsidRDefault="009B379E" w:rsidP="009B379E">
            <w:pPr>
              <w:rPr>
                <w:sz w:val="22"/>
                <w:szCs w:val="22"/>
              </w:rPr>
            </w:pPr>
            <w:r w:rsidRPr="00CA5CB1">
              <w:rPr>
                <w:sz w:val="22"/>
                <w:szCs w:val="22"/>
              </w:rPr>
              <w:t>wherein</w:t>
            </w:r>
          </w:p>
          <w:p w14:paraId="2E102499" w14:textId="77777777" w:rsidR="009B379E" w:rsidRPr="00CA5CB1" w:rsidRDefault="009B379E" w:rsidP="009B379E">
            <w:pPr>
              <w:spacing w:after="0"/>
              <w:ind w:firstLine="720"/>
              <w:contextualSpacing/>
              <w:rPr>
                <w:rFonts w:ascii="Times" w:eastAsia="Batang" w:hAnsi="Times"/>
                <w:sz w:val="22"/>
                <w:szCs w:val="22"/>
              </w:rPr>
            </w:pPr>
            <w:r w:rsidRPr="00CA5CB1">
              <w:rPr>
                <w:rFonts w:ascii="Times" w:eastAsia="Batang" w:hAnsi="Times"/>
                <w:sz w:val="22"/>
                <w:szCs w:val="22"/>
              </w:rPr>
              <w:t>J is the number of aggregated component carriers in a band or band combination</w:t>
            </w:r>
          </w:p>
          <w:p w14:paraId="3C58CB76" w14:textId="77777777" w:rsidR="009B379E" w:rsidRPr="00CA5CB1" w:rsidRDefault="009B379E" w:rsidP="009B379E">
            <w:pPr>
              <w:spacing w:after="0"/>
              <w:ind w:firstLine="720"/>
              <w:contextualSpacing/>
              <w:rPr>
                <w:rFonts w:ascii="Times" w:eastAsia="Batang" w:hAnsi="Times"/>
                <w:sz w:val="22"/>
                <w:szCs w:val="22"/>
              </w:rPr>
            </w:pPr>
            <w:r w:rsidRPr="00CA5CB1">
              <w:rPr>
                <w:rFonts w:ascii="Times" w:eastAsia="Batang" w:hAnsi="Times"/>
                <w:sz w:val="22"/>
                <w:szCs w:val="22"/>
              </w:rPr>
              <w:t>R</w:t>
            </w:r>
            <w:r w:rsidRPr="00CA5CB1">
              <w:rPr>
                <w:rFonts w:ascii="Times" w:eastAsia="Batang" w:hAnsi="Times"/>
                <w:sz w:val="22"/>
                <w:szCs w:val="22"/>
                <w:vertAlign w:val="subscript"/>
              </w:rPr>
              <w:t>max</w:t>
            </w:r>
            <w:r w:rsidRPr="00CA5CB1">
              <w:rPr>
                <w:rFonts w:ascii="Times" w:eastAsia="Batang" w:hAnsi="Times"/>
                <w:sz w:val="22"/>
                <w:szCs w:val="22"/>
              </w:rPr>
              <w:t xml:space="preserve"> = 948/1024</w:t>
            </w:r>
          </w:p>
          <w:p w14:paraId="35824B74" w14:textId="77777777" w:rsidR="009B379E" w:rsidRPr="00CA5CB1" w:rsidRDefault="009B379E" w:rsidP="009B379E">
            <w:pPr>
              <w:spacing w:after="0"/>
              <w:ind w:firstLine="720"/>
              <w:contextualSpacing/>
              <w:rPr>
                <w:rFonts w:ascii="Times" w:eastAsia="Batang" w:hAnsi="Times"/>
                <w:sz w:val="22"/>
                <w:szCs w:val="22"/>
              </w:rPr>
            </w:pPr>
            <w:r w:rsidRPr="00CA5CB1">
              <w:rPr>
                <w:rFonts w:ascii="Times" w:eastAsia="Batang" w:hAnsi="Times"/>
                <w:sz w:val="22"/>
                <w:szCs w:val="22"/>
              </w:rPr>
              <w:t>For the j-th CC,</w:t>
            </w:r>
          </w:p>
          <w:p w14:paraId="629575F5" w14:textId="3764230A" w:rsidR="009B379E" w:rsidRPr="00CA5CB1" w:rsidRDefault="009B379E" w:rsidP="009B379E">
            <w:pPr>
              <w:pStyle w:val="B2"/>
              <w:rPr>
                <w:rFonts w:ascii="Times" w:hAnsi="Times"/>
                <w:sz w:val="22"/>
                <w:szCs w:val="22"/>
              </w:rPr>
            </w:pPr>
            <w:r w:rsidRPr="00CA5CB1">
              <w:rPr>
                <w:rFonts w:eastAsia="MS Mincho"/>
                <w:position w:val="-16"/>
                <w:sz w:val="22"/>
                <w:szCs w:val="22"/>
              </w:rPr>
              <w:tab/>
            </w:r>
            <m:oMath>
              <m:sSubSup>
                <m:sSubSupPr>
                  <m:ctrlPr>
                    <w:rPr>
                      <w:rFonts w:ascii="Cambria Math" w:hAnsi="Cambria Math"/>
                      <w:i/>
                      <w:sz w:val="22"/>
                      <w:szCs w:val="22"/>
                    </w:rPr>
                  </m:ctrlPr>
                </m:sSubSupPr>
                <m:e>
                  <m:r>
                    <w:rPr>
                      <w:rFonts w:ascii="Cambria Math"/>
                      <w:sz w:val="22"/>
                      <w:szCs w:val="22"/>
                    </w:rPr>
                    <m:t>v</m:t>
                  </m:r>
                </m:e>
                <m:sub>
                  <m:r>
                    <w:rPr>
                      <w:rFonts w:ascii="Cambria Math"/>
                      <w:sz w:val="22"/>
                      <w:szCs w:val="22"/>
                    </w:rPr>
                    <m:t>Layers</m:t>
                  </m:r>
                </m:sub>
                <m:sup>
                  <m:r>
                    <w:rPr>
                      <w:rFonts w:ascii="Cambria Math"/>
                      <w:sz w:val="22"/>
                      <w:szCs w:val="22"/>
                    </w:rPr>
                    <m:t>(j)</m:t>
                  </m:r>
                </m:sup>
              </m:sSubSup>
            </m:oMath>
            <w:r w:rsidRPr="00CA5CB1">
              <w:rPr>
                <w:rFonts w:ascii="Times" w:hAnsi="Times"/>
                <w:sz w:val="22"/>
                <w:szCs w:val="22"/>
              </w:rPr>
              <w:t xml:space="preserve"> is the maximum number of </w:t>
            </w:r>
            <w:r w:rsidRPr="00CA5CB1">
              <w:rPr>
                <w:rFonts w:ascii="Times" w:eastAsia="Batang" w:hAnsi="Times"/>
                <w:sz w:val="22"/>
                <w:szCs w:val="22"/>
              </w:rPr>
              <w:t xml:space="preserve">supported </w:t>
            </w:r>
            <w:r w:rsidRPr="00CA5CB1">
              <w:rPr>
                <w:rFonts w:ascii="Times" w:hAnsi="Times"/>
                <w:sz w:val="22"/>
                <w:szCs w:val="22"/>
              </w:rPr>
              <w:t xml:space="preserve">layers </w:t>
            </w:r>
            <w:r w:rsidRPr="00CA5CB1">
              <w:rPr>
                <w:sz w:val="22"/>
                <w:szCs w:val="22"/>
              </w:rPr>
              <w:t xml:space="preserve">given by higher layer parameter </w:t>
            </w:r>
            <w:r w:rsidRPr="00CA5CB1">
              <w:rPr>
                <w:i/>
                <w:sz w:val="22"/>
                <w:szCs w:val="22"/>
              </w:rPr>
              <w:t xml:space="preserve">maxNumberMIMO-LayersPDSCH </w:t>
            </w:r>
            <w:r w:rsidRPr="00CA5CB1">
              <w:rPr>
                <w:sz w:val="22"/>
                <w:szCs w:val="22"/>
              </w:rPr>
              <w:t xml:space="preserve">for downlink and maximum of higher layer parameters </w:t>
            </w:r>
            <w:r w:rsidRPr="00CA5CB1">
              <w:rPr>
                <w:i/>
                <w:sz w:val="22"/>
                <w:szCs w:val="22"/>
              </w:rPr>
              <w:t>maxNumberMIMO-LayersCB-PUSCH</w:t>
            </w:r>
            <w:r w:rsidRPr="00CA5CB1">
              <w:rPr>
                <w:sz w:val="22"/>
                <w:szCs w:val="22"/>
              </w:rPr>
              <w:t xml:space="preserve"> and </w:t>
            </w:r>
            <w:r w:rsidRPr="00CA5CB1">
              <w:rPr>
                <w:i/>
                <w:sz w:val="22"/>
                <w:szCs w:val="22"/>
              </w:rPr>
              <w:t xml:space="preserve">maxNumberMIMO-LayersNonCB-PUSCH </w:t>
            </w:r>
            <w:r w:rsidRPr="00CA5CB1">
              <w:rPr>
                <w:sz w:val="22"/>
                <w:szCs w:val="22"/>
              </w:rPr>
              <w:t>for uplink.</w:t>
            </w:r>
          </w:p>
          <w:p w14:paraId="1ADB2986" w14:textId="25FC8C28" w:rsidR="009B379E" w:rsidRPr="00CA5CB1" w:rsidRDefault="009B379E" w:rsidP="009B379E">
            <w:pPr>
              <w:pStyle w:val="B2"/>
              <w:rPr>
                <w:sz w:val="22"/>
                <w:szCs w:val="22"/>
              </w:rPr>
            </w:pPr>
            <w:r w:rsidRPr="00CA5CB1">
              <w:rPr>
                <w:rFonts w:eastAsia="MS Mincho"/>
                <w:sz w:val="22"/>
                <w:szCs w:val="22"/>
              </w:rPr>
              <w:tab/>
            </w:r>
            <m:oMath>
              <m:sSubSup>
                <m:sSubSupPr>
                  <m:ctrlPr>
                    <w:rPr>
                      <w:rFonts w:ascii="Cambria Math" w:eastAsia="MS Mincho" w:hAnsi="Cambria Math"/>
                      <w:i/>
                      <w:sz w:val="22"/>
                      <w:szCs w:val="22"/>
                    </w:rPr>
                  </m:ctrlPr>
                </m:sSubSupPr>
                <m:e>
                  <m:r>
                    <w:rPr>
                      <w:rFonts w:ascii="Cambria Math" w:eastAsia="MS Mincho"/>
                      <w:sz w:val="22"/>
                      <w:szCs w:val="22"/>
                    </w:rPr>
                    <m:t>Q</m:t>
                  </m:r>
                </m:e>
                <m:sub>
                  <m:r>
                    <w:rPr>
                      <w:rFonts w:ascii="Cambria Math" w:eastAsia="MS Mincho"/>
                      <w:sz w:val="22"/>
                      <w:szCs w:val="22"/>
                    </w:rPr>
                    <m:t>m</m:t>
                  </m:r>
                </m:sub>
                <m:sup>
                  <m:r>
                    <w:rPr>
                      <w:rFonts w:ascii="Cambria Math" w:eastAsia="MS Mincho"/>
                      <w:sz w:val="22"/>
                      <w:szCs w:val="22"/>
                    </w:rPr>
                    <m:t>(j)</m:t>
                  </m:r>
                </m:sup>
              </m:sSubSup>
            </m:oMath>
            <w:r w:rsidRPr="00CA5CB1">
              <w:rPr>
                <w:sz w:val="22"/>
                <w:szCs w:val="22"/>
              </w:rPr>
              <w:t xml:space="preserve"> is the maximum </w:t>
            </w:r>
            <w:r w:rsidRPr="00CA5CB1">
              <w:rPr>
                <w:rFonts w:ascii="Times" w:eastAsia="Batang" w:hAnsi="Times"/>
                <w:sz w:val="22"/>
                <w:szCs w:val="22"/>
              </w:rPr>
              <w:t xml:space="preserve">supported </w:t>
            </w:r>
            <w:r w:rsidRPr="00CA5CB1">
              <w:rPr>
                <w:sz w:val="22"/>
                <w:szCs w:val="22"/>
              </w:rPr>
              <w:t>modulation order</w:t>
            </w:r>
            <w:r w:rsidRPr="00CA5CB1">
              <w:rPr>
                <w:rFonts w:ascii="Times" w:eastAsia="Batang" w:hAnsi="Times"/>
                <w:sz w:val="22"/>
                <w:szCs w:val="22"/>
              </w:rPr>
              <w:t xml:space="preserve"> </w:t>
            </w:r>
            <w:r w:rsidRPr="00CA5CB1">
              <w:rPr>
                <w:rFonts w:eastAsia="Batang"/>
                <w:sz w:val="22"/>
                <w:szCs w:val="22"/>
              </w:rPr>
              <w:t xml:space="preserve">given by higher layer parameter </w:t>
            </w:r>
            <w:r w:rsidRPr="00CA5CB1">
              <w:rPr>
                <w:rFonts w:eastAsia="Batang"/>
                <w:i/>
                <w:sz w:val="22"/>
                <w:szCs w:val="22"/>
              </w:rPr>
              <w:t xml:space="preserve">supportedModulationOrderDL </w:t>
            </w:r>
            <w:r w:rsidRPr="00CA5CB1">
              <w:rPr>
                <w:rFonts w:eastAsia="Batang"/>
                <w:sz w:val="22"/>
                <w:szCs w:val="22"/>
              </w:rPr>
              <w:t xml:space="preserve">for downlink and higher layer parameter </w:t>
            </w:r>
            <w:r w:rsidRPr="00CA5CB1">
              <w:rPr>
                <w:rFonts w:eastAsia="Batang"/>
                <w:i/>
                <w:sz w:val="22"/>
                <w:szCs w:val="22"/>
              </w:rPr>
              <w:t>supportedModulationOrderUL</w:t>
            </w:r>
            <w:r w:rsidRPr="00CA5CB1">
              <w:rPr>
                <w:rFonts w:eastAsia="Batang"/>
                <w:sz w:val="22"/>
                <w:szCs w:val="22"/>
              </w:rPr>
              <w:t xml:space="preserve"> for uplink.</w:t>
            </w:r>
          </w:p>
          <w:p w14:paraId="64D4B446" w14:textId="1D7FA22D" w:rsidR="009B379E" w:rsidRPr="00CA5CB1" w:rsidRDefault="009B379E" w:rsidP="009B379E">
            <w:pPr>
              <w:pStyle w:val="B2"/>
              <w:rPr>
                <w:sz w:val="22"/>
                <w:szCs w:val="22"/>
              </w:rPr>
            </w:pPr>
            <w:r w:rsidRPr="00CA5CB1">
              <w:rPr>
                <w:rFonts w:eastAsia="MS Mincho"/>
                <w:sz w:val="22"/>
                <w:szCs w:val="22"/>
              </w:rPr>
              <w:tab/>
            </w:r>
            <m:oMath>
              <m:sSubSup>
                <m:sSubSupPr>
                  <m:ctrlPr>
                    <w:rPr>
                      <w:rFonts w:ascii="Cambria Math" w:eastAsia="MS Mincho" w:hAnsi="Cambria Math"/>
                      <w:i/>
                      <w:sz w:val="22"/>
                      <w:szCs w:val="22"/>
                    </w:rPr>
                  </m:ctrlPr>
                </m:sSubSupPr>
                <m:e>
                  <m:r>
                    <w:rPr>
                      <w:rFonts w:ascii="Cambria Math" w:eastAsia="MS Mincho"/>
                      <w:sz w:val="22"/>
                      <w:szCs w:val="22"/>
                    </w:rPr>
                    <m:t>f</m:t>
                  </m:r>
                </m:e>
                <m:sub/>
                <m:sup>
                  <m:r>
                    <w:rPr>
                      <w:rFonts w:ascii="Cambria Math" w:eastAsia="MS Mincho"/>
                      <w:sz w:val="22"/>
                      <w:szCs w:val="22"/>
                    </w:rPr>
                    <m:t>(j)</m:t>
                  </m:r>
                </m:sup>
              </m:sSubSup>
            </m:oMath>
            <w:r w:rsidRPr="00CA5CB1">
              <w:rPr>
                <w:sz w:val="22"/>
                <w:szCs w:val="22"/>
              </w:rPr>
              <w:t xml:space="preserve">is the scaling factor given by higher layer parameter </w:t>
            </w:r>
            <w:r w:rsidRPr="00CA5CB1">
              <w:rPr>
                <w:i/>
                <w:sz w:val="22"/>
                <w:szCs w:val="22"/>
              </w:rPr>
              <w:t>scalingFactor</w:t>
            </w:r>
            <w:r w:rsidRPr="00CA5CB1">
              <w:rPr>
                <w:sz w:val="22"/>
                <w:szCs w:val="22"/>
              </w:rPr>
              <w:t xml:space="preserve"> and can take the values 1, 0.8, 0.75, and 0.4.</w:t>
            </w:r>
          </w:p>
          <w:p w14:paraId="4F14BCEB" w14:textId="77777777" w:rsidR="009B379E" w:rsidRPr="00CA5CB1" w:rsidRDefault="009B379E" w:rsidP="009B379E">
            <w:pPr>
              <w:pStyle w:val="B2"/>
              <w:rPr>
                <w:sz w:val="22"/>
                <w:szCs w:val="22"/>
              </w:rPr>
            </w:pPr>
            <w:r w:rsidRPr="00CA5CB1">
              <w:rPr>
                <w:sz w:val="22"/>
                <w:szCs w:val="22"/>
              </w:rPr>
              <w:tab/>
            </w:r>
            <w:r w:rsidRPr="00CA5CB1">
              <w:rPr>
                <w:sz w:val="22"/>
                <w:szCs w:val="22"/>
                <w:lang w:eastAsia="en-US"/>
              </w:rPr>
              <w:object w:dxaOrig="220" w:dyaOrig="240" w14:anchorId="2DF6A6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pt;height:12.5pt" o:ole="">
                  <v:imagedata r:id="rId11" o:title=""/>
                </v:shape>
                <o:OLEObject Type="Embed" ProgID="Equation.3" ShapeID="_x0000_i1025" DrawAspect="Content" ObjectID="_1728987245" r:id="rId12"/>
              </w:object>
            </w:r>
            <w:r w:rsidRPr="00CA5CB1">
              <w:rPr>
                <w:sz w:val="22"/>
                <w:szCs w:val="22"/>
              </w:rPr>
              <w:t xml:space="preserve"> is the numerology (as defined in TS 38.211 [6])</w:t>
            </w:r>
          </w:p>
          <w:p w14:paraId="69A054E4" w14:textId="066F3EFC" w:rsidR="009B379E" w:rsidRPr="00CA5CB1" w:rsidRDefault="009B379E" w:rsidP="009B379E">
            <w:pPr>
              <w:pStyle w:val="B2"/>
              <w:rPr>
                <w:sz w:val="22"/>
                <w:szCs w:val="22"/>
              </w:rPr>
            </w:pPr>
            <w:bookmarkStart w:id="2" w:name="OLE_LINK8"/>
            <w:r w:rsidRPr="00CA5CB1">
              <w:rPr>
                <w:sz w:val="22"/>
                <w:szCs w:val="22"/>
              </w:rPr>
              <w:tab/>
            </w:r>
            <w:bookmarkEnd w:id="2"/>
            <m:oMath>
              <m:sSubSup>
                <m:sSubSupPr>
                  <m:ctrlPr>
                    <w:rPr>
                      <w:rFonts w:ascii="Cambria Math" w:hAnsi="Cambria Math"/>
                      <w:i/>
                      <w:sz w:val="22"/>
                      <w:szCs w:val="22"/>
                    </w:rPr>
                  </m:ctrlPr>
                </m:sSubSupPr>
                <m:e>
                  <m:r>
                    <w:rPr>
                      <w:rFonts w:ascii="Cambria Math"/>
                      <w:sz w:val="22"/>
                      <w:szCs w:val="22"/>
                    </w:rPr>
                    <m:t>T</m:t>
                  </m:r>
                </m:e>
                <m:sub>
                  <m:r>
                    <w:rPr>
                      <w:rFonts w:ascii="Cambria Math"/>
                      <w:sz w:val="22"/>
                      <w:szCs w:val="22"/>
                    </w:rPr>
                    <m:t>s</m:t>
                  </m:r>
                </m:sub>
                <m:sup>
                  <m:r>
                    <w:rPr>
                      <w:rFonts w:ascii="Cambria Math"/>
                      <w:sz w:val="22"/>
                      <w:szCs w:val="22"/>
                    </w:rPr>
                    <m:t>μ</m:t>
                  </m:r>
                </m:sup>
              </m:sSubSup>
            </m:oMath>
            <w:r w:rsidRPr="00CA5CB1">
              <w:rPr>
                <w:sz w:val="22"/>
                <w:szCs w:val="22"/>
              </w:rPr>
              <w:t xml:space="preserve"> is the average OFDM symbol duration in a subframe for numerology </w:t>
            </w:r>
            <m:oMath>
              <m:r>
                <w:rPr>
                  <w:rFonts w:ascii="Cambria Math"/>
                  <w:sz w:val="22"/>
                  <w:szCs w:val="22"/>
                </w:rPr>
                <m:t>μ</m:t>
              </m:r>
            </m:oMath>
            <w:r w:rsidRPr="00CA5CB1">
              <w:rPr>
                <w:sz w:val="22"/>
                <w:szCs w:val="22"/>
              </w:rPr>
              <w:t xml:space="preserve">, i.e. </w:t>
            </w:r>
            <m:oMath>
              <m:sSubSup>
                <m:sSubSupPr>
                  <m:ctrlPr>
                    <w:rPr>
                      <w:rFonts w:ascii="Cambria Math" w:hAnsi="Cambria Math"/>
                      <w:i/>
                      <w:sz w:val="22"/>
                      <w:szCs w:val="22"/>
                    </w:rPr>
                  </m:ctrlPr>
                </m:sSubSupPr>
                <m:e>
                  <m:r>
                    <w:rPr>
                      <w:rFonts w:ascii="Cambria Math"/>
                      <w:sz w:val="22"/>
                      <w:szCs w:val="22"/>
                    </w:rPr>
                    <m:t>T</m:t>
                  </m:r>
                </m:e>
                <m:sub>
                  <m:r>
                    <w:rPr>
                      <w:rFonts w:ascii="Cambria Math"/>
                      <w:sz w:val="22"/>
                      <w:szCs w:val="22"/>
                    </w:rPr>
                    <m:t>s</m:t>
                  </m:r>
                </m:sub>
                <m:sup>
                  <m:r>
                    <w:rPr>
                      <w:rFonts w:ascii="Cambria Math"/>
                      <w:sz w:val="22"/>
                      <w:szCs w:val="22"/>
                    </w:rPr>
                    <m:t>μ</m:t>
                  </m:r>
                </m:sup>
              </m:sSubSup>
              <m:r>
                <w:rPr>
                  <w:rFonts w:ascii="Cambria Math"/>
                  <w:sz w:val="22"/>
                  <w:szCs w:val="22"/>
                </w:rPr>
                <m:t>=</m:t>
              </m:r>
              <m:f>
                <m:fPr>
                  <m:ctrlPr>
                    <w:rPr>
                      <w:rFonts w:ascii="Cambria Math" w:hAnsi="Cambria Math"/>
                      <w:i/>
                      <w:sz w:val="22"/>
                      <w:szCs w:val="22"/>
                    </w:rPr>
                  </m:ctrlPr>
                </m:fPr>
                <m:num>
                  <m:r>
                    <w:rPr>
                      <w:rFonts w:ascii="Cambria Math"/>
                      <w:sz w:val="22"/>
                      <w:szCs w:val="22"/>
                    </w:rPr>
                    <m:t>1</m:t>
                  </m:r>
                  <m:sSup>
                    <m:sSupPr>
                      <m:ctrlPr>
                        <w:rPr>
                          <w:rFonts w:ascii="Cambria Math" w:hAnsi="Cambria Math"/>
                          <w:i/>
                          <w:sz w:val="22"/>
                          <w:szCs w:val="22"/>
                        </w:rPr>
                      </m:ctrlPr>
                    </m:sSupPr>
                    <m:e>
                      <m:r>
                        <w:rPr>
                          <w:rFonts w:ascii="Cambria Math"/>
                          <w:sz w:val="22"/>
                          <w:szCs w:val="22"/>
                        </w:rPr>
                        <m:t>0</m:t>
                      </m:r>
                    </m:e>
                    <m:sup>
                      <m:r>
                        <w:rPr>
                          <w:rFonts w:ascii="Cambria Math"/>
                          <w:sz w:val="22"/>
                          <w:szCs w:val="22"/>
                        </w:rPr>
                        <m:t>-</m:t>
                      </m:r>
                      <m:r>
                        <w:rPr>
                          <w:rFonts w:ascii="Cambria Math"/>
                          <w:sz w:val="22"/>
                          <w:szCs w:val="22"/>
                        </w:rPr>
                        <m:t>3</m:t>
                      </m:r>
                    </m:sup>
                  </m:sSup>
                </m:num>
                <m:den>
                  <m:r>
                    <w:rPr>
                      <w:rFonts w:ascii="Cambria Math"/>
                      <w:sz w:val="22"/>
                      <w:szCs w:val="22"/>
                    </w:rPr>
                    <m:t>14</m:t>
                  </m:r>
                  <m:r>
                    <w:rPr>
                      <w:rFonts w:ascii="Cambria Math" w:hAnsi="Cambria Math" w:cs="Cambria Math"/>
                      <w:sz w:val="22"/>
                      <w:szCs w:val="22"/>
                    </w:rPr>
                    <m:t>⋅</m:t>
                  </m:r>
                  <m:sSup>
                    <m:sSupPr>
                      <m:ctrlPr>
                        <w:rPr>
                          <w:rFonts w:ascii="Cambria Math" w:hAnsi="Cambria Math"/>
                          <w:i/>
                          <w:sz w:val="22"/>
                          <w:szCs w:val="22"/>
                        </w:rPr>
                      </m:ctrlPr>
                    </m:sSupPr>
                    <m:e>
                      <m:r>
                        <w:rPr>
                          <w:rFonts w:ascii="Cambria Math"/>
                          <w:sz w:val="22"/>
                          <w:szCs w:val="22"/>
                        </w:rPr>
                        <m:t>2</m:t>
                      </m:r>
                    </m:e>
                    <m:sup>
                      <m:r>
                        <w:rPr>
                          <w:rFonts w:ascii="Cambria Math"/>
                          <w:sz w:val="22"/>
                          <w:szCs w:val="22"/>
                        </w:rPr>
                        <m:t>μ</m:t>
                      </m:r>
                    </m:sup>
                  </m:sSup>
                </m:den>
              </m:f>
            </m:oMath>
            <w:r w:rsidRPr="00CA5CB1">
              <w:rPr>
                <w:sz w:val="22"/>
                <w:szCs w:val="22"/>
              </w:rPr>
              <w:t>. Note that normal cyclic prefix is assumed.</w:t>
            </w:r>
          </w:p>
          <w:p w14:paraId="46E5A0A5" w14:textId="556D5334" w:rsidR="009B379E" w:rsidRPr="00CA5CB1" w:rsidRDefault="009B379E" w:rsidP="009B379E">
            <w:pPr>
              <w:pStyle w:val="B2"/>
              <w:rPr>
                <w:sz w:val="22"/>
                <w:szCs w:val="22"/>
              </w:rPr>
            </w:pPr>
            <w:r w:rsidRPr="00CA5CB1">
              <w:rPr>
                <w:sz w:val="22"/>
                <w:szCs w:val="22"/>
              </w:rPr>
              <w:tab/>
            </w:r>
            <m:oMath>
              <m:sSubSup>
                <m:sSubSupPr>
                  <m:ctrlPr>
                    <w:rPr>
                      <w:rFonts w:ascii="Cambria Math" w:hAnsi="Cambria Math"/>
                      <w:i/>
                      <w:sz w:val="22"/>
                      <w:szCs w:val="22"/>
                    </w:rPr>
                  </m:ctrlPr>
                </m:sSubSupPr>
                <m:e>
                  <m:r>
                    <w:rPr>
                      <w:rFonts w:ascii="Cambria Math"/>
                      <w:sz w:val="22"/>
                      <w:szCs w:val="22"/>
                    </w:rPr>
                    <m:t>N</m:t>
                  </m:r>
                </m:e>
                <m:sub>
                  <m:r>
                    <w:rPr>
                      <w:rFonts w:ascii="Cambria Math"/>
                      <w:sz w:val="22"/>
                      <w:szCs w:val="22"/>
                    </w:rPr>
                    <m:t>PRB</m:t>
                  </m:r>
                </m:sub>
                <m:sup>
                  <m:r>
                    <w:rPr>
                      <w:rFonts w:ascii="Cambria Math"/>
                      <w:sz w:val="22"/>
                      <w:szCs w:val="22"/>
                    </w:rPr>
                    <m:t>BW</m:t>
                  </m:r>
                  <m:d>
                    <m:dPr>
                      <m:ctrlPr>
                        <w:rPr>
                          <w:rFonts w:ascii="Cambria Math" w:hAnsi="Cambria Math"/>
                          <w:i/>
                          <w:sz w:val="22"/>
                          <w:szCs w:val="22"/>
                        </w:rPr>
                      </m:ctrlPr>
                    </m:dPr>
                    <m:e>
                      <m:r>
                        <w:rPr>
                          <w:rFonts w:ascii="Cambria Math"/>
                          <w:sz w:val="22"/>
                          <w:szCs w:val="22"/>
                        </w:rPr>
                        <m:t>j</m:t>
                      </m:r>
                    </m:e>
                  </m:d>
                  <m:r>
                    <w:rPr>
                      <w:rFonts w:ascii="Cambria Math"/>
                      <w:sz w:val="22"/>
                      <w:szCs w:val="22"/>
                    </w:rPr>
                    <m:t>,μ</m:t>
                  </m:r>
                </m:sup>
              </m:sSubSup>
            </m:oMath>
            <w:r w:rsidRPr="00CA5CB1">
              <w:rPr>
                <w:sz w:val="22"/>
                <w:szCs w:val="22"/>
              </w:rPr>
              <w:t xml:space="preserve"> is the maximum RB allocation in bandwidth </w:t>
            </w:r>
            <m:oMath>
              <m:r>
                <w:rPr>
                  <w:rFonts w:ascii="Cambria Math"/>
                  <w:sz w:val="22"/>
                  <w:szCs w:val="22"/>
                </w:rPr>
                <m:t>B</m:t>
              </m:r>
              <m:sSup>
                <m:sSupPr>
                  <m:ctrlPr>
                    <w:rPr>
                      <w:rFonts w:ascii="Cambria Math" w:hAnsi="Cambria Math"/>
                      <w:i/>
                      <w:sz w:val="22"/>
                      <w:szCs w:val="22"/>
                    </w:rPr>
                  </m:ctrlPr>
                </m:sSupPr>
                <m:e>
                  <m:r>
                    <w:rPr>
                      <w:rFonts w:ascii="Cambria Math"/>
                      <w:sz w:val="22"/>
                      <w:szCs w:val="22"/>
                    </w:rPr>
                    <m:t>W</m:t>
                  </m:r>
                </m:e>
                <m:sup>
                  <m:d>
                    <m:dPr>
                      <m:ctrlPr>
                        <w:rPr>
                          <w:rFonts w:ascii="Cambria Math" w:hAnsi="Cambria Math"/>
                          <w:i/>
                          <w:sz w:val="22"/>
                          <w:szCs w:val="22"/>
                        </w:rPr>
                      </m:ctrlPr>
                    </m:dPr>
                    <m:e>
                      <m:r>
                        <w:rPr>
                          <w:rFonts w:ascii="Cambria Math"/>
                          <w:sz w:val="22"/>
                          <w:szCs w:val="22"/>
                        </w:rPr>
                        <m:t>j</m:t>
                      </m:r>
                    </m:e>
                  </m:d>
                </m:sup>
              </m:sSup>
            </m:oMath>
            <w:r w:rsidRPr="00CA5CB1">
              <w:rPr>
                <w:sz w:val="22"/>
                <w:szCs w:val="22"/>
              </w:rPr>
              <w:t xml:space="preserve"> with numerology </w:t>
            </w:r>
            <m:oMath>
              <m:r>
                <w:rPr>
                  <w:rFonts w:ascii="Cambria Math"/>
                  <w:sz w:val="22"/>
                  <w:szCs w:val="22"/>
                </w:rPr>
                <m:t>μ</m:t>
              </m:r>
            </m:oMath>
            <w:r w:rsidRPr="00CA5CB1">
              <w:rPr>
                <w:sz w:val="22"/>
                <w:szCs w:val="22"/>
              </w:rPr>
              <w:t xml:space="preserve">, as defined in 5.3 TS 38.101-1 [2] and 5.3 TS 38.101-2 [3], where </w:t>
            </w:r>
            <m:oMath>
              <m:r>
                <w:rPr>
                  <w:rFonts w:ascii="Cambria Math"/>
                  <w:sz w:val="22"/>
                  <w:szCs w:val="22"/>
                </w:rPr>
                <m:t>B</m:t>
              </m:r>
              <m:sSup>
                <m:sSupPr>
                  <m:ctrlPr>
                    <w:rPr>
                      <w:rFonts w:ascii="Cambria Math" w:hAnsi="Cambria Math"/>
                      <w:i/>
                      <w:sz w:val="22"/>
                      <w:szCs w:val="22"/>
                    </w:rPr>
                  </m:ctrlPr>
                </m:sSupPr>
                <m:e>
                  <m:r>
                    <w:rPr>
                      <w:rFonts w:ascii="Cambria Math"/>
                      <w:sz w:val="22"/>
                      <w:szCs w:val="22"/>
                    </w:rPr>
                    <m:t>W</m:t>
                  </m:r>
                </m:e>
                <m:sup>
                  <m:d>
                    <m:dPr>
                      <m:ctrlPr>
                        <w:rPr>
                          <w:rFonts w:ascii="Cambria Math" w:hAnsi="Cambria Math"/>
                          <w:i/>
                          <w:sz w:val="22"/>
                          <w:szCs w:val="22"/>
                        </w:rPr>
                      </m:ctrlPr>
                    </m:dPr>
                    <m:e>
                      <m:r>
                        <w:rPr>
                          <w:rFonts w:ascii="Cambria Math"/>
                          <w:sz w:val="22"/>
                          <w:szCs w:val="22"/>
                        </w:rPr>
                        <m:t>j</m:t>
                      </m:r>
                    </m:e>
                  </m:d>
                </m:sup>
              </m:sSup>
            </m:oMath>
            <w:r w:rsidRPr="00CA5CB1">
              <w:rPr>
                <w:sz w:val="22"/>
                <w:szCs w:val="22"/>
              </w:rPr>
              <w:t xml:space="preserve"> is the UE supported maximum bandwidth in the given band or band combination.</w:t>
            </w:r>
          </w:p>
          <w:p w14:paraId="7250B068" w14:textId="2197957D" w:rsidR="009B379E" w:rsidRPr="00CA5CB1" w:rsidRDefault="009B379E" w:rsidP="009B379E">
            <w:pPr>
              <w:pStyle w:val="B2"/>
              <w:rPr>
                <w:sz w:val="22"/>
                <w:szCs w:val="22"/>
              </w:rPr>
            </w:pPr>
            <w:r w:rsidRPr="00CA5CB1">
              <w:rPr>
                <w:rFonts w:eastAsia="MS Mincho"/>
                <w:sz w:val="22"/>
                <w:szCs w:val="22"/>
              </w:rPr>
              <w:tab/>
            </w:r>
            <m:oMath>
              <m:r>
                <w:rPr>
                  <w:rFonts w:ascii="Cambria Math" w:eastAsia="MS Mincho"/>
                  <w:sz w:val="22"/>
                  <w:szCs w:val="22"/>
                </w:rPr>
                <m:t>O</m:t>
              </m:r>
              <m:sSup>
                <m:sSupPr>
                  <m:ctrlPr>
                    <w:rPr>
                      <w:rFonts w:ascii="Cambria Math" w:eastAsia="MS Mincho" w:hAnsi="Cambria Math"/>
                      <w:i/>
                      <w:sz w:val="22"/>
                      <w:szCs w:val="22"/>
                    </w:rPr>
                  </m:ctrlPr>
                </m:sSupPr>
                <m:e>
                  <m:r>
                    <w:rPr>
                      <w:rFonts w:ascii="Cambria Math" w:eastAsia="MS Mincho"/>
                      <w:sz w:val="22"/>
                      <w:szCs w:val="22"/>
                    </w:rPr>
                    <m:t>H</m:t>
                  </m:r>
                </m:e>
                <m:sup>
                  <m:r>
                    <w:rPr>
                      <w:rFonts w:ascii="Cambria Math" w:eastAsia="MS Mincho"/>
                      <w:sz w:val="22"/>
                      <w:szCs w:val="22"/>
                    </w:rPr>
                    <m:t>(j)</m:t>
                  </m:r>
                </m:sup>
              </m:sSup>
            </m:oMath>
            <w:r w:rsidRPr="00CA5CB1">
              <w:rPr>
                <w:sz w:val="22"/>
                <w:szCs w:val="22"/>
              </w:rPr>
              <w:t>is the overhead and takes the following values</w:t>
            </w:r>
          </w:p>
          <w:p w14:paraId="1C8C7726" w14:textId="77777777" w:rsidR="009B379E" w:rsidRPr="00CA5CB1" w:rsidRDefault="009B379E" w:rsidP="009B379E">
            <w:pPr>
              <w:spacing w:after="0"/>
              <w:ind w:left="1440" w:firstLine="720"/>
              <w:rPr>
                <w:rFonts w:ascii="Times" w:eastAsia="Batang" w:hAnsi="Times"/>
                <w:sz w:val="22"/>
                <w:szCs w:val="22"/>
              </w:rPr>
            </w:pPr>
            <w:r w:rsidRPr="00CA5CB1">
              <w:rPr>
                <w:rFonts w:ascii="Times" w:eastAsia="Batang" w:hAnsi="Times"/>
                <w:sz w:val="22"/>
                <w:szCs w:val="22"/>
              </w:rPr>
              <w:lastRenderedPageBreak/>
              <w:t>0.14, for frequency range FR1 for DL</w:t>
            </w:r>
          </w:p>
          <w:p w14:paraId="53C3BFE6" w14:textId="77777777" w:rsidR="009B379E" w:rsidRPr="00CA5CB1" w:rsidRDefault="009B379E" w:rsidP="009B379E">
            <w:pPr>
              <w:spacing w:after="0"/>
              <w:ind w:left="1440" w:firstLine="720"/>
              <w:rPr>
                <w:sz w:val="22"/>
                <w:szCs w:val="22"/>
              </w:rPr>
            </w:pPr>
            <w:r w:rsidRPr="00CA5CB1">
              <w:rPr>
                <w:sz w:val="22"/>
                <w:szCs w:val="22"/>
              </w:rPr>
              <w:t>0.18, for frequency range FR2 for DL</w:t>
            </w:r>
          </w:p>
          <w:p w14:paraId="17A5C541" w14:textId="77777777" w:rsidR="009B379E" w:rsidRPr="00CA5CB1" w:rsidRDefault="009B379E" w:rsidP="009B379E">
            <w:pPr>
              <w:spacing w:after="0"/>
              <w:ind w:left="1440" w:firstLine="720"/>
              <w:rPr>
                <w:rFonts w:ascii="Times" w:eastAsia="Batang" w:hAnsi="Times"/>
                <w:sz w:val="22"/>
                <w:szCs w:val="22"/>
              </w:rPr>
            </w:pPr>
            <w:r w:rsidRPr="00CA5CB1">
              <w:rPr>
                <w:rFonts w:ascii="Times" w:eastAsia="Batang" w:hAnsi="Times"/>
                <w:sz w:val="22"/>
                <w:szCs w:val="22"/>
              </w:rPr>
              <w:t>0.08, for frequency range FR1 for UL</w:t>
            </w:r>
          </w:p>
          <w:p w14:paraId="6AEB1D48" w14:textId="4F4EA012" w:rsidR="009B379E" w:rsidRPr="00CA5CB1" w:rsidRDefault="009B379E" w:rsidP="009B379E">
            <w:pPr>
              <w:ind w:left="1440" w:firstLine="720"/>
              <w:rPr>
                <w:sz w:val="22"/>
                <w:szCs w:val="22"/>
              </w:rPr>
            </w:pPr>
            <w:r w:rsidRPr="00CA5CB1">
              <w:rPr>
                <w:sz w:val="22"/>
                <w:szCs w:val="22"/>
              </w:rPr>
              <w:t>0.10, for frequency range FR2 for UL</w:t>
            </w:r>
          </w:p>
        </w:tc>
      </w:tr>
    </w:tbl>
    <w:p w14:paraId="35CC6FE7" w14:textId="159B4EAA" w:rsidR="00E061B9" w:rsidRPr="00CA5CB1" w:rsidRDefault="00E061B9" w:rsidP="007C2AE1">
      <w:pPr>
        <w:spacing w:after="0"/>
      </w:pPr>
    </w:p>
    <w:p w14:paraId="4BF14337" w14:textId="7F205B78" w:rsidR="00776A76" w:rsidRPr="00CA5CB1" w:rsidRDefault="00776A76" w:rsidP="00776A76">
      <w:r w:rsidRPr="00CA5CB1">
        <w:t xml:space="preserve">Assuming 16QAM, single MIMO layer, </w:t>
      </w:r>
      <m:oMath>
        <m:sSubSup>
          <m:sSubSupPr>
            <m:ctrlPr>
              <w:rPr>
                <w:rFonts w:ascii="Cambria Math" w:eastAsia="MS Mincho" w:hAnsi="Cambria Math"/>
                <w:i/>
              </w:rPr>
            </m:ctrlPr>
          </m:sSubSupPr>
          <m:e>
            <m:r>
              <w:rPr>
                <w:rFonts w:ascii="Cambria Math" w:eastAsia="MS Mincho"/>
              </w:rPr>
              <m:t>f</m:t>
            </m:r>
          </m:e>
          <m:sub/>
          <m:sup>
            <m:r>
              <w:rPr>
                <w:rFonts w:ascii="Cambria Math" w:eastAsia="MS Mincho"/>
              </w:rPr>
              <m:t>(j)</m:t>
            </m:r>
          </m:sup>
        </m:sSubSup>
        <m:r>
          <w:rPr>
            <w:rFonts w:ascii="Cambria Math" w:eastAsia="MS Mincho"/>
          </w:rPr>
          <m:t>=1</m:t>
        </m:r>
      </m:oMath>
      <w:r w:rsidRPr="00CA5CB1">
        <w:t xml:space="preserve">, </w:t>
      </w:r>
      <m:oMath>
        <m:sSubSup>
          <m:sSubSupPr>
            <m:ctrlPr>
              <w:rPr>
                <w:rFonts w:ascii="Cambria Math" w:hAnsi="Cambria Math"/>
                <w:i/>
              </w:rPr>
            </m:ctrlPr>
          </m:sSubSupPr>
          <m:e>
            <m:r>
              <w:rPr>
                <w:rFonts w:ascii="Cambria Math"/>
              </w:rPr>
              <m:t>N</m:t>
            </m:r>
          </m:e>
          <m:sub>
            <m:r>
              <w:rPr>
                <w:rFonts w:ascii="Cambria Math"/>
              </w:rPr>
              <m:t>PRB</m:t>
            </m:r>
          </m:sub>
          <m:sup>
            <m:r>
              <w:rPr>
                <w:rFonts w:ascii="Cambria Math"/>
              </w:rPr>
              <m:t>BW</m:t>
            </m:r>
            <m:d>
              <m:dPr>
                <m:ctrlPr>
                  <w:rPr>
                    <w:rFonts w:ascii="Cambria Math" w:hAnsi="Cambria Math"/>
                    <w:i/>
                  </w:rPr>
                </m:ctrlPr>
              </m:dPr>
              <m:e>
                <m:r>
                  <w:rPr>
                    <w:rFonts w:ascii="Cambria Math"/>
                  </w:rPr>
                  <m:t>j</m:t>
                </m:r>
              </m:e>
            </m:d>
            <m:r>
              <w:rPr>
                <w:rFonts w:ascii="Cambria Math"/>
              </w:rPr>
              <m:t>,μ</m:t>
            </m:r>
          </m:sup>
        </m:sSubSup>
      </m:oMath>
      <w:r w:rsidRPr="00CA5CB1">
        <w:t xml:space="preserve"> equals to </w:t>
      </w:r>
      <w:r w:rsidR="00167275" w:rsidRPr="00CA5CB1">
        <w:t>25 or 11</w:t>
      </w:r>
      <w:r w:rsidRPr="00CA5CB1">
        <w:t xml:space="preserve"> </w:t>
      </w:r>
      <w:r w:rsidR="00167275" w:rsidRPr="00CA5CB1">
        <w:t>for SCS 15 or 30kHz</w:t>
      </w:r>
      <w:r w:rsidRPr="00CA5CB1">
        <w:t xml:space="preserve"> respectively, the achievable peak DL and UL throughputs are provided in Table 1. Since the achievable throughput is larger than the target of 10MHz for eRedCap UE, it would be fine to introduce additional means to further reduce peak data rate. Therefore, a relaxation on the product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f</m:t>
            </m:r>
          </m:e>
          <m:sub/>
          <m:sup>
            <m:r>
              <w:rPr>
                <w:rFonts w:ascii="Cambria Math"/>
              </w:rPr>
              <m:t>(j)</m:t>
            </m:r>
          </m:sup>
        </m:sSubSup>
      </m:oMath>
      <w:r w:rsidRPr="00CA5CB1">
        <w:t xml:space="preserve"> can be considered. </w:t>
      </w:r>
      <w:r w:rsidR="00E25A14" w:rsidRPr="00CA5CB1">
        <w:t xml:space="preserve">10Mbps for peak DL/UL throughput can be achieved if the product equal to 2.8. however, value 2.8 is not valid considering the available candidate values of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f</m:t>
            </m:r>
          </m:e>
          <m:sub/>
          <m:sup>
            <m:r>
              <w:rPr>
                <w:rFonts w:ascii="Cambria Math"/>
              </w:rPr>
              <m:t>(j)</m:t>
            </m:r>
          </m:sup>
        </m:sSubSup>
      </m:oMath>
      <w:r w:rsidR="00E25A14" w:rsidRPr="00CA5CB1">
        <w:t xml:space="preserve">. Therefore, we propose to relax the product to 3 which is a practical/simple number. </w:t>
      </w:r>
    </w:p>
    <w:p w14:paraId="4A266AA2" w14:textId="74D8C3C6" w:rsidR="00776A76" w:rsidRPr="00CA5CB1" w:rsidRDefault="00776A76" w:rsidP="007C2AE1">
      <w:pPr>
        <w:pStyle w:val="N1"/>
        <w:spacing w:after="120"/>
        <w:jc w:val="center"/>
        <w:rPr>
          <w:rFonts w:ascii="Times New Roman" w:hAnsi="Times New Roman" w:cs="Times New Roman"/>
          <w:b/>
          <w:bCs/>
        </w:rPr>
      </w:pPr>
      <w:r w:rsidRPr="00CA5CB1">
        <w:rPr>
          <w:rFonts w:ascii="Times New Roman" w:hAnsi="Times New Roman" w:cs="Times New Roman"/>
          <w:b/>
          <w:bCs/>
        </w:rPr>
        <w:t xml:space="preserve">Table 1: Peak DL/UL throughput for 5MHz </w:t>
      </w:r>
      <w:r w:rsidR="00167275" w:rsidRPr="00CA5CB1">
        <w:rPr>
          <w:rFonts w:ascii="Times New Roman" w:hAnsi="Times New Roman" w:cs="Times New Roman"/>
          <w:b/>
          <w:bCs/>
        </w:rPr>
        <w:t>BB</w:t>
      </w:r>
      <w:r w:rsidRPr="00CA5CB1">
        <w:rPr>
          <w:rFonts w:ascii="Times New Roman" w:hAnsi="Times New Roman" w:cs="Times New Roman"/>
          <w:b/>
          <w:bCs/>
        </w:rPr>
        <w:t xml:space="preserve"> BW</w:t>
      </w:r>
    </w:p>
    <w:tbl>
      <w:tblPr>
        <w:tblStyle w:val="TableGrid"/>
        <w:tblW w:w="0" w:type="auto"/>
        <w:tblInd w:w="634" w:type="dxa"/>
        <w:tblLook w:val="04A0" w:firstRow="1" w:lastRow="0" w:firstColumn="1" w:lastColumn="0" w:noHBand="0" w:noVBand="1"/>
      </w:tblPr>
      <w:tblGrid>
        <w:gridCol w:w="1341"/>
        <w:gridCol w:w="995"/>
        <w:gridCol w:w="1350"/>
        <w:gridCol w:w="2340"/>
        <w:gridCol w:w="2340"/>
      </w:tblGrid>
      <w:tr w:rsidR="007C2AE1" w:rsidRPr="00CA5CB1" w14:paraId="6F6A370E" w14:textId="77777777" w:rsidTr="00167275">
        <w:trPr>
          <w:trHeight w:val="548"/>
        </w:trPr>
        <w:tc>
          <w:tcPr>
            <w:tcW w:w="1341" w:type="dxa"/>
          </w:tcPr>
          <w:p w14:paraId="3ED5967A" w14:textId="260C6930" w:rsidR="007C2AE1" w:rsidRPr="00CA5CB1" w:rsidRDefault="007C2AE1" w:rsidP="00FB1071">
            <w:pPr>
              <w:pStyle w:val="N1"/>
              <w:ind w:left="0"/>
              <w:jc w:val="both"/>
              <w:rPr>
                <w:rFonts w:ascii="Times New Roman" w:hAnsi="Times New Roman" w:cs="Times New Roman"/>
                <w:b/>
                <w:bCs/>
                <w:sz w:val="22"/>
                <w:szCs w:val="22"/>
              </w:rPr>
            </w:pPr>
            <w:r w:rsidRPr="00CA5CB1">
              <w:rPr>
                <w:rFonts w:ascii="Times New Roman" w:hAnsi="Times New Roman" w:cs="Times New Roman"/>
                <w:b/>
                <w:bCs/>
                <w:sz w:val="22"/>
                <w:szCs w:val="22"/>
              </w:rPr>
              <w:t>SCS (kHz)</w:t>
            </w:r>
          </w:p>
        </w:tc>
        <w:tc>
          <w:tcPr>
            <w:tcW w:w="990" w:type="dxa"/>
          </w:tcPr>
          <w:p w14:paraId="40C799E5" w14:textId="623BE420" w:rsidR="007C2AE1" w:rsidRPr="00CA5CB1" w:rsidRDefault="00CF666E" w:rsidP="00FB1071">
            <w:pPr>
              <w:pStyle w:val="N1"/>
              <w:ind w:left="0"/>
              <w:jc w:val="both"/>
              <w:rPr>
                <w:rFonts w:ascii="Times New Roman" w:hAnsi="Times New Roman" w:cs="Times New Roman"/>
                <w:b/>
                <w:bCs/>
                <w:sz w:val="22"/>
                <w:szCs w:val="22"/>
              </w:rPr>
            </w:pPr>
            <m:oMathPara>
              <m:oMath>
                <m:sSubSup>
                  <m:sSubSupPr>
                    <m:ctrlPr>
                      <w:rPr>
                        <w:rFonts w:ascii="Cambria Math" w:hAnsi="Cambria Math"/>
                        <w:b/>
                        <w:bCs/>
                        <w:i/>
                        <w:sz w:val="22"/>
                        <w:szCs w:val="22"/>
                      </w:rPr>
                    </m:ctrlPr>
                  </m:sSubSupPr>
                  <m:e>
                    <m:r>
                      <m:rPr>
                        <m:sty m:val="bi"/>
                      </m:rPr>
                      <w:rPr>
                        <w:rFonts w:ascii="Cambria Math"/>
                        <w:sz w:val="22"/>
                        <w:szCs w:val="22"/>
                      </w:rPr>
                      <m:t>N</m:t>
                    </m:r>
                  </m:e>
                  <m:sub>
                    <m:r>
                      <m:rPr>
                        <m:sty m:val="bi"/>
                      </m:rPr>
                      <w:rPr>
                        <w:rFonts w:ascii="Cambria Math"/>
                        <w:sz w:val="22"/>
                        <w:szCs w:val="22"/>
                      </w:rPr>
                      <m:t>PRB</m:t>
                    </m:r>
                  </m:sub>
                  <m:sup>
                    <m:r>
                      <m:rPr>
                        <m:sty m:val="bi"/>
                      </m:rPr>
                      <w:rPr>
                        <w:rFonts w:ascii="Cambria Math"/>
                        <w:sz w:val="22"/>
                        <w:szCs w:val="22"/>
                      </w:rPr>
                      <m:t>BW</m:t>
                    </m:r>
                    <m:d>
                      <m:dPr>
                        <m:ctrlPr>
                          <w:rPr>
                            <w:rFonts w:ascii="Cambria Math" w:hAnsi="Cambria Math"/>
                            <w:b/>
                            <w:bCs/>
                            <w:i/>
                            <w:sz w:val="22"/>
                            <w:szCs w:val="22"/>
                          </w:rPr>
                        </m:ctrlPr>
                      </m:dPr>
                      <m:e>
                        <m:r>
                          <m:rPr>
                            <m:sty m:val="bi"/>
                          </m:rPr>
                          <w:rPr>
                            <w:rFonts w:ascii="Cambria Math"/>
                            <w:sz w:val="22"/>
                            <w:szCs w:val="22"/>
                          </w:rPr>
                          <m:t>j</m:t>
                        </m:r>
                      </m:e>
                    </m:d>
                    <m:r>
                      <m:rPr>
                        <m:sty m:val="bi"/>
                      </m:rPr>
                      <w:rPr>
                        <w:rFonts w:ascii="Cambria Math"/>
                        <w:sz w:val="22"/>
                        <w:szCs w:val="22"/>
                      </w:rPr>
                      <m:t>,μ</m:t>
                    </m:r>
                  </m:sup>
                </m:sSubSup>
              </m:oMath>
            </m:oMathPara>
          </w:p>
        </w:tc>
        <w:tc>
          <w:tcPr>
            <w:tcW w:w="1350" w:type="dxa"/>
          </w:tcPr>
          <w:p w14:paraId="22FAA70E" w14:textId="257CD36C" w:rsidR="007C2AE1" w:rsidRPr="00CA5CB1" w:rsidRDefault="007C2AE1" w:rsidP="00FB1071">
            <w:pPr>
              <w:pStyle w:val="N1"/>
              <w:ind w:left="0"/>
              <w:jc w:val="both"/>
              <w:rPr>
                <w:rFonts w:ascii="Times New Roman" w:hAnsi="Times New Roman" w:cs="Times New Roman"/>
                <w:b/>
                <w:bCs/>
                <w:sz w:val="22"/>
                <w:szCs w:val="22"/>
              </w:rPr>
            </w:pPr>
            <w:r w:rsidRPr="00CA5CB1">
              <w:rPr>
                <w:rFonts w:ascii="Times New Roman" w:hAnsi="Times New Roman" w:cs="Times New Roman"/>
                <w:b/>
                <w:bCs/>
                <w:sz w:val="22"/>
                <w:szCs w:val="22"/>
              </w:rPr>
              <w:t>Modulation Order</w:t>
            </w:r>
          </w:p>
        </w:tc>
        <w:tc>
          <w:tcPr>
            <w:tcW w:w="2340" w:type="dxa"/>
          </w:tcPr>
          <w:p w14:paraId="04E78AAC" w14:textId="77777777" w:rsidR="007C2AE1" w:rsidRPr="00CA5CB1" w:rsidRDefault="007C2AE1" w:rsidP="00FB1071">
            <w:pPr>
              <w:pStyle w:val="N1"/>
              <w:ind w:left="0"/>
              <w:jc w:val="both"/>
              <w:rPr>
                <w:rFonts w:ascii="Times New Roman" w:hAnsi="Times New Roman" w:cs="Times New Roman"/>
                <w:b/>
                <w:bCs/>
                <w:sz w:val="22"/>
                <w:szCs w:val="22"/>
              </w:rPr>
            </w:pPr>
            <w:r w:rsidRPr="00CA5CB1">
              <w:rPr>
                <w:rFonts w:ascii="Times New Roman" w:hAnsi="Times New Roman" w:cs="Times New Roman"/>
                <w:b/>
                <w:bCs/>
                <w:sz w:val="22"/>
                <w:szCs w:val="22"/>
              </w:rPr>
              <w:t>Peak DL throughput (Mbps)</w:t>
            </w:r>
          </w:p>
        </w:tc>
        <w:tc>
          <w:tcPr>
            <w:tcW w:w="2340" w:type="dxa"/>
          </w:tcPr>
          <w:p w14:paraId="41BFA002" w14:textId="77777777" w:rsidR="007C2AE1" w:rsidRPr="00CA5CB1" w:rsidRDefault="007C2AE1" w:rsidP="00FB1071">
            <w:pPr>
              <w:pStyle w:val="N1"/>
              <w:ind w:left="0"/>
              <w:jc w:val="both"/>
              <w:rPr>
                <w:rFonts w:ascii="Times New Roman" w:hAnsi="Times New Roman" w:cs="Times New Roman"/>
                <w:b/>
                <w:bCs/>
                <w:sz w:val="22"/>
                <w:szCs w:val="22"/>
              </w:rPr>
            </w:pPr>
            <w:r w:rsidRPr="00CA5CB1">
              <w:rPr>
                <w:rFonts w:ascii="Times New Roman" w:hAnsi="Times New Roman" w:cs="Times New Roman"/>
                <w:b/>
                <w:bCs/>
                <w:sz w:val="22"/>
                <w:szCs w:val="22"/>
              </w:rPr>
              <w:t>Peak UL throughput (Mbps)</w:t>
            </w:r>
          </w:p>
        </w:tc>
      </w:tr>
      <w:tr w:rsidR="007C2AE1" w:rsidRPr="00CA5CB1" w14:paraId="4EBBFBD0" w14:textId="77777777" w:rsidTr="00167275">
        <w:trPr>
          <w:trHeight w:val="271"/>
        </w:trPr>
        <w:tc>
          <w:tcPr>
            <w:tcW w:w="1341" w:type="dxa"/>
          </w:tcPr>
          <w:p w14:paraId="58CEF51E" w14:textId="452C0C9C" w:rsidR="007C2AE1" w:rsidRPr="00CA5CB1" w:rsidRDefault="007C2AE1" w:rsidP="00167275">
            <w:pPr>
              <w:pStyle w:val="N1"/>
              <w:ind w:left="0"/>
              <w:jc w:val="center"/>
              <w:rPr>
                <w:rFonts w:ascii="Times New Roman" w:hAnsi="Times New Roman" w:cs="Times New Roman"/>
                <w:sz w:val="22"/>
                <w:szCs w:val="22"/>
              </w:rPr>
            </w:pPr>
            <w:r w:rsidRPr="00CA5CB1">
              <w:rPr>
                <w:rFonts w:ascii="Times New Roman" w:hAnsi="Times New Roman" w:cs="Times New Roman"/>
                <w:sz w:val="22"/>
                <w:szCs w:val="22"/>
              </w:rPr>
              <w:t>15</w:t>
            </w:r>
          </w:p>
        </w:tc>
        <w:tc>
          <w:tcPr>
            <w:tcW w:w="990" w:type="dxa"/>
          </w:tcPr>
          <w:p w14:paraId="5B5E6327" w14:textId="3C5588AE" w:rsidR="007C2AE1" w:rsidRPr="00CA5CB1" w:rsidRDefault="007C2AE1" w:rsidP="00167275">
            <w:pPr>
              <w:pStyle w:val="N1"/>
              <w:ind w:left="0"/>
              <w:jc w:val="center"/>
              <w:rPr>
                <w:rFonts w:ascii="Times New Roman" w:hAnsi="Times New Roman" w:cs="Times New Roman"/>
                <w:sz w:val="22"/>
                <w:szCs w:val="22"/>
              </w:rPr>
            </w:pPr>
            <w:r w:rsidRPr="00CA5CB1">
              <w:rPr>
                <w:rFonts w:ascii="Times New Roman" w:hAnsi="Times New Roman" w:cs="Times New Roman"/>
                <w:sz w:val="22"/>
                <w:szCs w:val="22"/>
              </w:rPr>
              <w:t>25</w:t>
            </w:r>
          </w:p>
        </w:tc>
        <w:tc>
          <w:tcPr>
            <w:tcW w:w="1350" w:type="dxa"/>
          </w:tcPr>
          <w:p w14:paraId="169E626F" w14:textId="4467C0DB" w:rsidR="007C2AE1" w:rsidRPr="00CA5CB1" w:rsidRDefault="007C2AE1" w:rsidP="00167275">
            <w:pPr>
              <w:pStyle w:val="N1"/>
              <w:ind w:left="0"/>
              <w:jc w:val="center"/>
              <w:rPr>
                <w:rFonts w:ascii="Times New Roman" w:hAnsi="Times New Roman" w:cs="Times New Roman"/>
                <w:sz w:val="22"/>
                <w:szCs w:val="22"/>
              </w:rPr>
            </w:pPr>
            <w:r w:rsidRPr="00CA5CB1">
              <w:rPr>
                <w:rFonts w:ascii="Times New Roman" w:hAnsi="Times New Roman" w:cs="Times New Roman"/>
                <w:sz w:val="22"/>
                <w:szCs w:val="22"/>
              </w:rPr>
              <w:t>4</w:t>
            </w:r>
          </w:p>
        </w:tc>
        <w:tc>
          <w:tcPr>
            <w:tcW w:w="2340" w:type="dxa"/>
          </w:tcPr>
          <w:p w14:paraId="5532EA54" w14:textId="77777777" w:rsidR="007C2AE1" w:rsidRPr="00CA5CB1" w:rsidRDefault="007C2AE1" w:rsidP="00167275">
            <w:pPr>
              <w:pStyle w:val="N1"/>
              <w:ind w:left="0"/>
              <w:jc w:val="center"/>
              <w:rPr>
                <w:rFonts w:ascii="Times New Roman" w:hAnsi="Times New Roman" w:cs="Times New Roman"/>
                <w:sz w:val="22"/>
                <w:szCs w:val="22"/>
              </w:rPr>
            </w:pPr>
            <w:r w:rsidRPr="00CA5CB1">
              <w:rPr>
                <w:rFonts w:ascii="Times New Roman" w:hAnsi="Times New Roman" w:cs="Times New Roman"/>
                <w:sz w:val="22"/>
                <w:szCs w:val="22"/>
              </w:rPr>
              <w:t>13.4</w:t>
            </w:r>
          </w:p>
        </w:tc>
        <w:tc>
          <w:tcPr>
            <w:tcW w:w="2340" w:type="dxa"/>
          </w:tcPr>
          <w:p w14:paraId="1D548696" w14:textId="77777777" w:rsidR="007C2AE1" w:rsidRPr="00CA5CB1" w:rsidRDefault="007C2AE1" w:rsidP="00167275">
            <w:pPr>
              <w:pStyle w:val="N1"/>
              <w:ind w:left="0"/>
              <w:jc w:val="center"/>
              <w:rPr>
                <w:rFonts w:ascii="Times New Roman" w:hAnsi="Times New Roman" w:cs="Times New Roman"/>
                <w:sz w:val="22"/>
                <w:szCs w:val="22"/>
              </w:rPr>
            </w:pPr>
            <w:r w:rsidRPr="00CA5CB1">
              <w:rPr>
                <w:rFonts w:ascii="Times New Roman" w:hAnsi="Times New Roman" w:cs="Times New Roman"/>
                <w:sz w:val="22"/>
                <w:szCs w:val="22"/>
              </w:rPr>
              <w:t>14.3</w:t>
            </w:r>
          </w:p>
        </w:tc>
      </w:tr>
      <w:tr w:rsidR="007C2AE1" w:rsidRPr="00CA5CB1" w14:paraId="1BF8DD0D" w14:textId="77777777" w:rsidTr="00167275">
        <w:trPr>
          <w:trHeight w:val="271"/>
        </w:trPr>
        <w:tc>
          <w:tcPr>
            <w:tcW w:w="1341" w:type="dxa"/>
          </w:tcPr>
          <w:p w14:paraId="13D66346" w14:textId="32D26F98" w:rsidR="007C2AE1" w:rsidRPr="00CA5CB1" w:rsidRDefault="007C2AE1" w:rsidP="00167275">
            <w:pPr>
              <w:pStyle w:val="N1"/>
              <w:ind w:left="0"/>
              <w:jc w:val="center"/>
              <w:rPr>
                <w:rFonts w:ascii="Times New Roman" w:hAnsi="Times New Roman" w:cs="Times New Roman"/>
                <w:sz w:val="22"/>
                <w:szCs w:val="22"/>
              </w:rPr>
            </w:pPr>
            <w:r w:rsidRPr="00CA5CB1">
              <w:rPr>
                <w:rFonts w:ascii="Times New Roman" w:hAnsi="Times New Roman" w:cs="Times New Roman"/>
                <w:sz w:val="22"/>
                <w:szCs w:val="22"/>
              </w:rPr>
              <w:t>30</w:t>
            </w:r>
          </w:p>
        </w:tc>
        <w:tc>
          <w:tcPr>
            <w:tcW w:w="990" w:type="dxa"/>
          </w:tcPr>
          <w:p w14:paraId="0519ADFE" w14:textId="3A3BB90D" w:rsidR="007C2AE1" w:rsidRPr="00CA5CB1" w:rsidRDefault="007C2AE1" w:rsidP="00167275">
            <w:pPr>
              <w:pStyle w:val="N1"/>
              <w:ind w:left="0"/>
              <w:jc w:val="center"/>
              <w:rPr>
                <w:rFonts w:ascii="Times New Roman" w:hAnsi="Times New Roman" w:cs="Times New Roman"/>
                <w:sz w:val="22"/>
                <w:szCs w:val="22"/>
              </w:rPr>
            </w:pPr>
            <w:r w:rsidRPr="00CA5CB1">
              <w:rPr>
                <w:rFonts w:ascii="Times New Roman" w:hAnsi="Times New Roman" w:cs="Times New Roman"/>
                <w:sz w:val="22"/>
                <w:szCs w:val="22"/>
              </w:rPr>
              <w:t>11</w:t>
            </w:r>
          </w:p>
        </w:tc>
        <w:tc>
          <w:tcPr>
            <w:tcW w:w="1350" w:type="dxa"/>
          </w:tcPr>
          <w:p w14:paraId="22AB25A9" w14:textId="4F0EC7F4" w:rsidR="007C2AE1" w:rsidRPr="00CA5CB1" w:rsidRDefault="007C2AE1" w:rsidP="00167275">
            <w:pPr>
              <w:pStyle w:val="N1"/>
              <w:ind w:left="0"/>
              <w:jc w:val="center"/>
              <w:rPr>
                <w:rFonts w:ascii="Times New Roman" w:hAnsi="Times New Roman" w:cs="Times New Roman"/>
                <w:sz w:val="22"/>
                <w:szCs w:val="22"/>
              </w:rPr>
            </w:pPr>
            <w:r w:rsidRPr="00CA5CB1">
              <w:rPr>
                <w:rFonts w:ascii="Times New Roman" w:hAnsi="Times New Roman" w:cs="Times New Roman"/>
                <w:sz w:val="22"/>
                <w:szCs w:val="22"/>
              </w:rPr>
              <w:t>4</w:t>
            </w:r>
          </w:p>
        </w:tc>
        <w:tc>
          <w:tcPr>
            <w:tcW w:w="2340" w:type="dxa"/>
          </w:tcPr>
          <w:p w14:paraId="1AD084D6" w14:textId="4E827AC0" w:rsidR="007C2AE1" w:rsidRPr="00CA5CB1" w:rsidRDefault="007C2AE1" w:rsidP="00167275">
            <w:pPr>
              <w:pStyle w:val="N1"/>
              <w:ind w:left="0"/>
              <w:jc w:val="center"/>
              <w:rPr>
                <w:rFonts w:ascii="Times New Roman" w:hAnsi="Times New Roman" w:cs="Times New Roman"/>
                <w:sz w:val="22"/>
                <w:szCs w:val="22"/>
              </w:rPr>
            </w:pPr>
            <w:r w:rsidRPr="00CA5CB1">
              <w:rPr>
                <w:rFonts w:ascii="Times New Roman" w:hAnsi="Times New Roman" w:cs="Times New Roman"/>
                <w:sz w:val="22"/>
                <w:szCs w:val="22"/>
              </w:rPr>
              <w:t>11.8</w:t>
            </w:r>
          </w:p>
        </w:tc>
        <w:tc>
          <w:tcPr>
            <w:tcW w:w="2340" w:type="dxa"/>
          </w:tcPr>
          <w:p w14:paraId="4C84C14F" w14:textId="7D7372CE" w:rsidR="007C2AE1" w:rsidRPr="00CA5CB1" w:rsidRDefault="007C2AE1" w:rsidP="00167275">
            <w:pPr>
              <w:pStyle w:val="N1"/>
              <w:ind w:left="0"/>
              <w:jc w:val="center"/>
              <w:rPr>
                <w:rFonts w:ascii="Times New Roman" w:hAnsi="Times New Roman" w:cs="Times New Roman"/>
                <w:sz w:val="22"/>
                <w:szCs w:val="22"/>
              </w:rPr>
            </w:pPr>
            <w:r w:rsidRPr="00CA5CB1">
              <w:rPr>
                <w:rFonts w:ascii="Times New Roman" w:hAnsi="Times New Roman" w:cs="Times New Roman"/>
                <w:sz w:val="22"/>
                <w:szCs w:val="22"/>
              </w:rPr>
              <w:t>12.6</w:t>
            </w:r>
          </w:p>
        </w:tc>
      </w:tr>
    </w:tbl>
    <w:p w14:paraId="3C30051C" w14:textId="77777777" w:rsidR="00776A76" w:rsidRPr="00CA5CB1" w:rsidRDefault="00776A76" w:rsidP="00776A76">
      <w:pPr>
        <w:autoSpaceDE/>
        <w:autoSpaceDN/>
        <w:adjustRightInd/>
        <w:snapToGrid/>
        <w:spacing w:after="0"/>
        <w:rPr>
          <w:iCs/>
          <w:lang w:eastAsia="zh-CN"/>
        </w:rPr>
      </w:pPr>
    </w:p>
    <w:p w14:paraId="657F0B25" w14:textId="172ED099" w:rsidR="00E25A14" w:rsidRPr="00CA5CB1" w:rsidRDefault="00E25A14" w:rsidP="00776A76">
      <w:pPr>
        <w:autoSpaceDE/>
        <w:autoSpaceDN/>
        <w:adjustRightInd/>
        <w:snapToGrid/>
        <w:spacing w:after="180"/>
        <w:rPr>
          <w:iCs/>
          <w:lang w:eastAsia="zh-CN"/>
        </w:rPr>
      </w:pPr>
      <w:r w:rsidRPr="00CA5CB1">
        <w:rPr>
          <w:iCs/>
          <w:lang w:eastAsia="zh-CN"/>
        </w:rPr>
        <w:t xml:space="preserve">On the other hand, there was a discussion whether relaxing the product to 1 can be considered as a standalone solution for eRedCap UE. Our understanding is that it is generally not preferred to define multiple types of eRedCap UE which </w:t>
      </w:r>
      <w:r w:rsidR="0025703D">
        <w:rPr>
          <w:iCs/>
          <w:lang w:eastAsia="zh-CN"/>
        </w:rPr>
        <w:t xml:space="preserve">would </w:t>
      </w:r>
      <w:r w:rsidRPr="00CA5CB1">
        <w:rPr>
          <w:iCs/>
          <w:lang w:eastAsia="zh-CN"/>
        </w:rPr>
        <w:t>result in market fragmentation. Based on the evaluation in study item phase, it is common understanding that relaxing the product to 1 can only provide quite limited gain for complexity reduction</w:t>
      </w:r>
      <w:r w:rsidR="007C2AE1" w:rsidRPr="00CA5CB1">
        <w:rPr>
          <w:iCs/>
          <w:lang w:eastAsia="zh-CN"/>
        </w:rPr>
        <w:t xml:space="preserve">. </w:t>
      </w:r>
    </w:p>
    <w:p w14:paraId="010D9167" w14:textId="77777777" w:rsidR="00167275" w:rsidRPr="00CA5CB1" w:rsidRDefault="00167275" w:rsidP="00167275">
      <w:pPr>
        <w:spacing w:after="0"/>
        <w:rPr>
          <w:rFonts w:eastAsia="Times New Roman"/>
        </w:rPr>
      </w:pPr>
    </w:p>
    <w:p w14:paraId="1D7D3BEB" w14:textId="6ECE3FB9" w:rsidR="00776A76" w:rsidRPr="00CA5CB1" w:rsidRDefault="00776A76" w:rsidP="00776A76">
      <w:r w:rsidRPr="00CA5CB1">
        <w:rPr>
          <w:b/>
          <w:bCs/>
        </w:rPr>
        <w:t xml:space="preserve">Proposal </w:t>
      </w:r>
      <w:r w:rsidR="009D2A51">
        <w:rPr>
          <w:b/>
          <w:bCs/>
        </w:rPr>
        <w:t>2</w:t>
      </w:r>
      <w:r w:rsidRPr="00CA5CB1">
        <w:rPr>
          <w:b/>
          <w:bCs/>
        </w:rPr>
        <w:t>:</w:t>
      </w:r>
      <w:r w:rsidRPr="00CA5CB1">
        <w:t xml:space="preserve"> </w:t>
      </w:r>
    </w:p>
    <w:p w14:paraId="6870672F" w14:textId="3EEC7AB4" w:rsidR="00776A76" w:rsidRPr="00CA5CB1" w:rsidRDefault="00167275" w:rsidP="00776A76">
      <w:pPr>
        <w:pStyle w:val="ListParagraph"/>
        <w:numPr>
          <w:ilvl w:val="0"/>
          <w:numId w:val="4"/>
        </w:numPr>
      </w:pPr>
      <w:r w:rsidRPr="00CA5CB1">
        <w:t xml:space="preserve">To calculate the peak data rate for a UE, </w:t>
      </w:r>
      <m:oMath>
        <m:sSubSup>
          <m:sSubSupPr>
            <m:ctrlPr>
              <w:rPr>
                <w:rFonts w:ascii="Cambria Math" w:hAnsi="Cambria Math"/>
                <w:i/>
              </w:rPr>
            </m:ctrlPr>
          </m:sSubSupPr>
          <m:e>
            <m:r>
              <w:rPr>
                <w:rFonts w:ascii="Cambria Math"/>
              </w:rPr>
              <m:t>N</m:t>
            </m:r>
          </m:e>
          <m:sub>
            <m:r>
              <w:rPr>
                <w:rFonts w:ascii="Cambria Math"/>
              </w:rPr>
              <m:t>PRB</m:t>
            </m:r>
          </m:sub>
          <m:sup>
            <m:r>
              <w:rPr>
                <w:rFonts w:ascii="Cambria Math"/>
              </w:rPr>
              <m:t>BW</m:t>
            </m:r>
            <m:d>
              <m:dPr>
                <m:ctrlPr>
                  <w:rPr>
                    <w:rFonts w:ascii="Cambria Math" w:hAnsi="Cambria Math"/>
                    <w:i/>
                  </w:rPr>
                </m:ctrlPr>
              </m:dPr>
              <m:e>
                <m:r>
                  <w:rPr>
                    <w:rFonts w:ascii="Cambria Math"/>
                  </w:rPr>
                  <m:t>j</m:t>
                </m:r>
              </m:e>
            </m:d>
            <m:r>
              <w:rPr>
                <w:rFonts w:ascii="Cambria Math"/>
              </w:rPr>
              <m:t>,μ</m:t>
            </m:r>
          </m:sup>
        </m:sSubSup>
        <m:r>
          <w:rPr>
            <w:rFonts w:ascii="Cambria Math"/>
          </w:rPr>
          <m:t>=25 or 11</m:t>
        </m:r>
      </m:oMath>
      <w:r w:rsidRPr="00CA5CB1">
        <w:t xml:space="preserve"> is used for SCS 15 or 30kHz respectively</w:t>
      </w:r>
      <w:r w:rsidR="00776A76" w:rsidRPr="00CA5CB1">
        <w:t xml:space="preserve">. </w:t>
      </w:r>
    </w:p>
    <w:p w14:paraId="7F98FA12" w14:textId="4F2E7CA6" w:rsidR="00167275" w:rsidRPr="00CA5CB1" w:rsidRDefault="00167275" w:rsidP="00167275">
      <w:pPr>
        <w:pStyle w:val="ListParagraph"/>
        <w:numPr>
          <w:ilvl w:val="0"/>
          <w:numId w:val="4"/>
        </w:numPr>
      </w:pPr>
      <w:r w:rsidRPr="00CA5CB1">
        <w:t xml:space="preserve">The product of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f</m:t>
            </m:r>
          </m:e>
          <m:sub/>
          <m:sup>
            <m:r>
              <w:rPr>
                <w:rFonts w:ascii="Cambria Math"/>
              </w:rPr>
              <m:t>(j)</m:t>
            </m:r>
          </m:sup>
        </m:sSubSup>
      </m:oMath>
      <w:r w:rsidRPr="00CA5CB1">
        <w:t xml:space="preserve"> can be relaxed to 3. </w:t>
      </w:r>
    </w:p>
    <w:p w14:paraId="3B33547C" w14:textId="4664A434" w:rsidR="00776A76" w:rsidRPr="00927D8E" w:rsidRDefault="00167275" w:rsidP="00FB1071">
      <w:pPr>
        <w:pStyle w:val="ListParagraph"/>
        <w:numPr>
          <w:ilvl w:val="0"/>
          <w:numId w:val="4"/>
        </w:numPr>
        <w:autoSpaceDE/>
        <w:autoSpaceDN/>
        <w:adjustRightInd/>
        <w:snapToGrid/>
        <w:spacing w:after="180"/>
      </w:pPr>
      <w:r w:rsidRPr="00CA5CB1">
        <w:rPr>
          <w:iCs/>
          <w:lang w:eastAsia="zh-CN"/>
        </w:rPr>
        <w:t xml:space="preserve">Relaxing </w:t>
      </w:r>
      <w:r w:rsidRPr="00927D8E">
        <w:rPr>
          <w:iCs/>
          <w:lang w:eastAsia="zh-CN"/>
        </w:rPr>
        <w:t xml:space="preserve">the product to 1 as a standalone solution is no further considered in RAN1. </w:t>
      </w:r>
    </w:p>
    <w:p w14:paraId="2053F7C3" w14:textId="5C1F76AB" w:rsidR="00B32E47" w:rsidRPr="00927D8E" w:rsidRDefault="00B32E47" w:rsidP="00B32E47">
      <w:pPr>
        <w:pStyle w:val="Heading1"/>
        <w:keepLines/>
        <w:numPr>
          <w:ilvl w:val="1"/>
          <w:numId w:val="1"/>
        </w:numPr>
        <w:pBdr>
          <w:top w:val="single" w:sz="12" w:space="4" w:color="auto"/>
        </w:pBdr>
        <w:overflowPunct w:val="0"/>
        <w:snapToGrid/>
        <w:spacing w:before="240"/>
        <w:textAlignment w:val="baseline"/>
        <w:rPr>
          <w:rFonts w:ascii="Arial" w:hAnsi="Arial"/>
          <w:b w:val="0"/>
          <w:bCs w:val="0"/>
        </w:rPr>
      </w:pPr>
      <w:r w:rsidRPr="00927D8E">
        <w:rPr>
          <w:rFonts w:ascii="Arial" w:hAnsi="Arial"/>
          <w:b w:val="0"/>
          <w:bCs w:val="0"/>
        </w:rPr>
        <w:t>Reduction on post-FFT data buffer</w:t>
      </w:r>
    </w:p>
    <w:p w14:paraId="24CF95EA" w14:textId="5F3CAAD3" w:rsidR="00746B5E" w:rsidRPr="00927D8E" w:rsidRDefault="00AB42C7" w:rsidP="00C639CC">
      <w:r w:rsidRPr="00927D8E">
        <w:t xml:space="preserve">The assumption on post-FFT data buffer at UE was discussed in last RAN1 meeting. </w:t>
      </w:r>
      <w:r w:rsidR="00746B5E" w:rsidRPr="00927D8E">
        <w:t>The main controversial point is that whether the buffer amount should be equal to 20MHz per slot or can be less than 20MHz per slot.</w:t>
      </w:r>
    </w:p>
    <w:p w14:paraId="4FA78BC8" w14:textId="7EC348DF" w:rsidR="00AB42C7" w:rsidRPr="00927D8E" w:rsidRDefault="00AB42C7" w:rsidP="00C639CC">
      <w:r w:rsidRPr="00927D8E">
        <w:t xml:space="preserve">A first option is to enforce a UE buffer of 20MHz per slot, so that all OFDM symbols in a slot can be buffered. This is most suitable for broadcast PDSCH. If gNB schedules a broadcast PDSCH in large number PRBs (&gt;25 or &gt;11), an eRedCap can still buffer all the necessary information. Though eRedCap UE cannot process all the allocated PRBs in single slot, it can be up to UE implementation to decode the broadcast PDSCH using all the allocated PRBs in multiple slots. Since there is no HARQ-ACK feedback for broadcast PDSCH, it is claimed that the increase of processing time doesn’t have a real impact on UE operations. </w:t>
      </w:r>
    </w:p>
    <w:p w14:paraId="50375029" w14:textId="1DFC3510" w:rsidR="00AB42C7" w:rsidRPr="00927D8E" w:rsidRDefault="00AB42C7" w:rsidP="00C639CC">
      <w:r w:rsidRPr="00927D8E">
        <w:t xml:space="preserve">This option potentially avoids </w:t>
      </w:r>
      <w:r w:rsidR="006120B5" w:rsidRPr="00927D8E">
        <w:t>an enhancement to compensate the coverage loss of broadcast PDSCH. However, the required amount of post-FFT data buffer should be further clarified. Due the relaxed processing time, the required buffer amount will be larger</w:t>
      </w:r>
      <w:r w:rsidR="000849F7" w:rsidRPr="00927D8E">
        <w:t xml:space="preserve"> than 20MH</w:t>
      </w:r>
      <w:r w:rsidR="000B28E9" w:rsidRPr="00927D8E">
        <w:t>z</w:t>
      </w:r>
      <w:r w:rsidR="000849F7" w:rsidRPr="00927D8E">
        <w:t xml:space="preserve"> in one slot</w:t>
      </w:r>
      <w:r w:rsidR="006120B5" w:rsidRPr="00927D8E">
        <w:t xml:space="preserve">. For example, assuming </w:t>
      </w:r>
      <w:r w:rsidR="000849F7" w:rsidRPr="00927D8E">
        <w:t xml:space="preserve">SIB1 PDSCH is transmitted in 48 PRBs in a first slot and UE </w:t>
      </w:r>
      <w:r w:rsidR="00285A61">
        <w:t>is only capable of processing</w:t>
      </w:r>
      <w:r w:rsidR="000849F7" w:rsidRPr="00927D8E">
        <w:t xml:space="preserve"> 11 PRBs of </w:t>
      </w:r>
      <w:r w:rsidR="000849F7" w:rsidRPr="00927D8E">
        <w:lastRenderedPageBreak/>
        <w:t xml:space="preserve">SIB1 per slot, </w:t>
      </w:r>
      <w:r w:rsidR="00CC5851">
        <w:t xml:space="preserve">thus </w:t>
      </w:r>
      <w:r w:rsidR="000849F7" w:rsidRPr="00927D8E">
        <w:t xml:space="preserve">it requires 4 or 5 slots to decode the whole SIB1 transmission. In other words, the UE needs to keep the buffer of SIB1 for 4 or 5 slots. </w:t>
      </w:r>
      <w:r w:rsidR="000B28E9" w:rsidRPr="00927D8E">
        <w:t>Consequently, the additional buffer is necessary for</w:t>
      </w:r>
      <w:r w:rsidR="000849F7" w:rsidRPr="00927D8E">
        <w:t xml:space="preserve"> the UE to receive possible new DL channels/signals after the first slot</w:t>
      </w:r>
      <w:r w:rsidR="000B28E9" w:rsidRPr="00927D8E">
        <w:t xml:space="preserve">. </w:t>
      </w:r>
      <w:r w:rsidR="00495EF5">
        <w:t xml:space="preserve">Alternatively, </w:t>
      </w:r>
      <w:r w:rsidR="00510621">
        <w:t xml:space="preserve">new DL channels/signals after the first slot should be avoided by gNB scheduling, which </w:t>
      </w:r>
      <w:r w:rsidR="003965BA">
        <w:t>degrades the performance</w:t>
      </w:r>
      <w:r w:rsidR="00C26054">
        <w:t xml:space="preserve"> </w:t>
      </w:r>
      <w:r w:rsidR="00C26054">
        <w:rPr>
          <w:lang w:eastAsia="zh-CN"/>
        </w:rPr>
        <w:t>due to the scheduling restriction</w:t>
      </w:r>
      <w:r w:rsidR="003965BA">
        <w:t xml:space="preserve">. </w:t>
      </w:r>
    </w:p>
    <w:p w14:paraId="6CEE2EE5" w14:textId="6F8C55F1" w:rsidR="000B28E9" w:rsidRPr="00927D8E" w:rsidRDefault="00477663" w:rsidP="00C639CC">
      <w:pPr>
        <w:rPr>
          <w:lang w:eastAsia="zh-CN"/>
        </w:rPr>
      </w:pPr>
      <w:r w:rsidRPr="00927D8E">
        <w:t xml:space="preserve">A second option is to allow the post-FFT data buffer to be less than 20MHz in one slot. The exact amount is up to UE implementation. Note: since the assumption is that UE only </w:t>
      </w:r>
      <w:r w:rsidR="00557631">
        <w:rPr>
          <w:rFonts w:hint="eastAsia"/>
          <w:lang w:eastAsia="zh-CN"/>
        </w:rPr>
        <w:t>processes</w:t>
      </w:r>
      <w:r w:rsidR="00557631">
        <w:t xml:space="preserve"> </w:t>
      </w:r>
      <w:r w:rsidRPr="00927D8E">
        <w:t xml:space="preserve">PDSCH in 5MHz and no relaxation of the processing time, </w:t>
      </w:r>
      <w:r w:rsidR="00746B5E" w:rsidRPr="00927D8E">
        <w:t xml:space="preserve">the buffer amount is exactly less than 20MHz. </w:t>
      </w:r>
    </w:p>
    <w:p w14:paraId="30AC9210" w14:textId="676C3BCA" w:rsidR="000B28E9" w:rsidRPr="00927D8E" w:rsidRDefault="000B28E9" w:rsidP="00280346">
      <w:pPr>
        <w:spacing w:after="0"/>
      </w:pPr>
    </w:p>
    <w:p w14:paraId="4E611D43" w14:textId="423AA14D" w:rsidR="00746B5E" w:rsidRPr="00927D8E" w:rsidDel="00F54294" w:rsidRDefault="00746B5E" w:rsidP="00746B5E">
      <w:r w:rsidRPr="00927D8E" w:rsidDel="00F54294">
        <w:rPr>
          <w:b/>
          <w:bCs/>
        </w:rPr>
        <w:t>Observation 1</w:t>
      </w:r>
      <w:r w:rsidRPr="00927D8E" w:rsidDel="00F54294">
        <w:t xml:space="preserve"> </w:t>
      </w:r>
    </w:p>
    <w:p w14:paraId="7EAC847A" w14:textId="77A2941F" w:rsidR="00746B5E" w:rsidRPr="00927D8E" w:rsidDel="00F54294" w:rsidRDefault="00280346" w:rsidP="00746B5E">
      <w:pPr>
        <w:pStyle w:val="ListParagraph"/>
        <w:numPr>
          <w:ilvl w:val="0"/>
          <w:numId w:val="4"/>
        </w:numPr>
      </w:pPr>
      <w:r w:rsidRPr="00927D8E" w:rsidDel="00F54294">
        <w:t>For the option to post-FFT data buffer broadcast PDSCH using relaxed processing timeline, the required buffer amount will be larger than 20MHz in one slot</w:t>
      </w:r>
    </w:p>
    <w:p w14:paraId="2D1754F7" w14:textId="2A88E0F6" w:rsidR="00280346" w:rsidRPr="00927D8E" w:rsidDel="00F54294" w:rsidRDefault="00280346" w:rsidP="00746B5E">
      <w:pPr>
        <w:pStyle w:val="ListParagraph"/>
        <w:numPr>
          <w:ilvl w:val="0"/>
          <w:numId w:val="4"/>
        </w:numPr>
      </w:pPr>
      <w:r w:rsidRPr="00927D8E" w:rsidDel="00F54294">
        <w:t xml:space="preserve">For the option to use less than 20MHz post-FFT data buffer without processing time relaxation, the buffer is exactly less than 20MHz in one slot. </w:t>
      </w:r>
    </w:p>
    <w:p w14:paraId="2287AF9B" w14:textId="091645D9" w:rsidR="00AA75CC" w:rsidRDefault="00AA75CC">
      <w:r>
        <w:rPr>
          <w:b/>
          <w:bCs/>
        </w:rPr>
        <w:t>Proposal 3</w:t>
      </w:r>
    </w:p>
    <w:p w14:paraId="419BF258" w14:textId="61954D30" w:rsidR="00E2468F" w:rsidRPr="00927D8E" w:rsidRDefault="00E2468F" w:rsidP="00E2468F">
      <w:pPr>
        <w:pStyle w:val="ListParagraph"/>
        <w:numPr>
          <w:ilvl w:val="0"/>
          <w:numId w:val="4"/>
        </w:numPr>
      </w:pPr>
      <w:r>
        <w:t>RAN1 assumes the eRedCap UE may have a</w:t>
      </w:r>
      <w:r w:rsidR="00693EF9">
        <w:t xml:space="preserve"> post-FFT data buffer of less than 20MHz in one slot without </w:t>
      </w:r>
      <w:r w:rsidR="006E3F55" w:rsidRPr="00927D8E" w:rsidDel="00F54294">
        <w:t>processing time relaxation</w:t>
      </w:r>
      <w:r w:rsidR="00693EF9">
        <w:t xml:space="preserve">. </w:t>
      </w:r>
    </w:p>
    <w:p w14:paraId="3A48620B" w14:textId="77777777" w:rsidR="0047012A" w:rsidRPr="00927D8E" w:rsidRDefault="0047012A" w:rsidP="0047012A">
      <w:pPr>
        <w:spacing w:after="0"/>
      </w:pPr>
    </w:p>
    <w:p w14:paraId="03D064A9" w14:textId="5CF21551" w:rsidR="00CE2DA7" w:rsidRDefault="00B35344" w:rsidP="0047012A">
      <w:r>
        <w:t>To achieve &lt;20MHz post-FFT data buffer</w:t>
      </w:r>
      <w:r w:rsidR="0047012A" w:rsidRPr="00927D8E">
        <w:t>,</w:t>
      </w:r>
      <w:r>
        <w:t xml:space="preserve"> following two approaches can be considered, </w:t>
      </w:r>
    </w:p>
    <w:p w14:paraId="42ED31DE" w14:textId="0CC55546" w:rsidR="000660ED" w:rsidRDefault="00CE2DA7" w:rsidP="00305C51">
      <w:pPr>
        <w:pStyle w:val="ListParagraph"/>
        <w:numPr>
          <w:ilvl w:val="0"/>
          <w:numId w:val="43"/>
        </w:numPr>
      </w:pPr>
      <w:r>
        <w:t>I</w:t>
      </w:r>
      <w:r w:rsidR="0047012A" w:rsidRPr="00927D8E">
        <w:t>f the 5MHz for PDSCH reception is not known beforehand, e.g., a</w:t>
      </w:r>
      <w:r w:rsidR="002B6601" w:rsidRPr="00927D8E">
        <w:t xml:space="preserve">ssuming PDCCH and the associated scheduled PDSCH are in the same slot, </w:t>
      </w:r>
      <w:r w:rsidR="00F71D34" w:rsidRPr="00927D8E">
        <w:t xml:space="preserve">the UE has to buffer the whole OFDM symbols </w:t>
      </w:r>
      <w:r w:rsidR="0047012A" w:rsidRPr="00927D8E">
        <w:t>until PDCCH decoding is completed</w:t>
      </w:r>
      <w:r w:rsidR="00F71D34" w:rsidRPr="00927D8E">
        <w:t>. Then, if a PDCCH</w:t>
      </w:r>
      <w:r w:rsidR="0047012A" w:rsidRPr="00927D8E">
        <w:t xml:space="preserve"> to the UE</w:t>
      </w:r>
      <w:r w:rsidR="00F71D34" w:rsidRPr="00927D8E">
        <w:t xml:space="preserve"> is </w:t>
      </w:r>
      <w:r w:rsidR="0047012A" w:rsidRPr="00927D8E">
        <w:t xml:space="preserve">successful </w:t>
      </w:r>
      <w:r w:rsidR="00F71D34" w:rsidRPr="00927D8E">
        <w:t>detected</w:t>
      </w:r>
      <w:r w:rsidR="0047012A" w:rsidRPr="00927D8E">
        <w:t xml:space="preserve">, the UE may only buffer 5MHz in the remaining OFDM symbols in the slot. By this way, the amount of post-FFT data buffer is more than 5MHz but is still less than 20MHz. </w:t>
      </w:r>
      <w:r>
        <w:t xml:space="preserve">If the </w:t>
      </w:r>
      <w:r w:rsidRPr="00927D8E">
        <w:t>5MHz for PDSCH reception is known beforehand</w:t>
      </w:r>
      <w:r>
        <w:rPr>
          <w:rFonts w:hint="eastAsia"/>
          <w:lang w:eastAsia="zh-CN"/>
        </w:rPr>
        <w:t>,</w:t>
      </w:r>
      <w:r>
        <w:rPr>
          <w:lang w:eastAsia="zh-CN"/>
        </w:rPr>
        <w:t xml:space="preserve"> </w:t>
      </w:r>
      <w:r w:rsidR="00612D4A">
        <w:t>5MH</w:t>
      </w:r>
      <w:r w:rsidR="00612D4A">
        <w:rPr>
          <w:rFonts w:hint="eastAsia"/>
          <w:lang w:eastAsia="zh-CN"/>
        </w:rPr>
        <w:t>z</w:t>
      </w:r>
      <w:r w:rsidRPr="00927D8E">
        <w:t xml:space="preserve"> post-FFT data buffer </w:t>
      </w:r>
      <w:r w:rsidR="00612D4A">
        <w:rPr>
          <w:rFonts w:hint="eastAsia"/>
          <w:lang w:eastAsia="zh-CN"/>
        </w:rPr>
        <w:t>is</w:t>
      </w:r>
      <w:r w:rsidR="00612D4A">
        <w:t xml:space="preserve"> sufficient </w:t>
      </w:r>
      <w:r w:rsidR="00257A4E">
        <w:rPr>
          <w:rFonts w:hint="eastAsia"/>
          <w:lang w:eastAsia="zh-CN"/>
        </w:rPr>
        <w:t>wh</w:t>
      </w:r>
      <w:r w:rsidR="00257A4E">
        <w:t xml:space="preserve">ich further </w:t>
      </w:r>
      <w:r w:rsidR="0047012A" w:rsidRPr="00927D8E">
        <w:t>reduce</w:t>
      </w:r>
      <w:r w:rsidR="00257A4E">
        <w:rPr>
          <w:rFonts w:hint="eastAsia"/>
          <w:lang w:eastAsia="zh-CN"/>
        </w:rPr>
        <w:t>s</w:t>
      </w:r>
      <w:r w:rsidR="0047012A" w:rsidRPr="00927D8E">
        <w:t xml:space="preserve"> UE complexity. In a first alternative, the location of the 5MHz frequency region for PDSCH transmission can be </w:t>
      </w:r>
      <w:r w:rsidR="0009279E">
        <w:t xml:space="preserve">pre-defined or </w:t>
      </w:r>
      <w:r w:rsidR="0047012A" w:rsidRPr="00927D8E">
        <w:t xml:space="preserve">configured by high layer signaling. </w:t>
      </w:r>
      <w:r w:rsidR="007E437D" w:rsidRPr="00927D8E">
        <w:t xml:space="preserve">Consequently, UE only buffers this 5MHz region for potential PDSCH reception before PDCCH is decoded. </w:t>
      </w:r>
    </w:p>
    <w:p w14:paraId="0DCD9922" w14:textId="09652697" w:rsidR="00F71D34" w:rsidRPr="00927D8E" w:rsidRDefault="007E437D" w:rsidP="002516DA">
      <w:pPr>
        <w:pStyle w:val="ListParagraph"/>
        <w:numPr>
          <w:ilvl w:val="0"/>
          <w:numId w:val="43"/>
        </w:numPr>
      </w:pPr>
      <w:r w:rsidRPr="00927D8E">
        <w:t xml:space="preserve">Another alternative is to enforce cross-slot scheduling for </w:t>
      </w:r>
      <w:r w:rsidRPr="00927D8E">
        <w:rPr>
          <w:rFonts w:hint="eastAsia"/>
          <w:lang w:eastAsia="zh-CN"/>
        </w:rPr>
        <w:t>PDSCH</w:t>
      </w:r>
      <w:r w:rsidRPr="00927D8E">
        <w:t xml:space="preserve">. The applicable </w:t>
      </w:r>
      <w:r w:rsidR="009E79A8" w:rsidRPr="00927D8E">
        <w:t>minimum K0/K2 value</w:t>
      </w:r>
      <w:r w:rsidR="008C3FDE" w:rsidRPr="00927D8E">
        <w:t xml:space="preserve"> was </w:t>
      </w:r>
      <w:r w:rsidRPr="00927D8E">
        <w:t xml:space="preserve">already </w:t>
      </w:r>
      <w:r w:rsidR="008C3FDE" w:rsidRPr="00927D8E">
        <w:t>introduced in Rel-16 power saving</w:t>
      </w:r>
      <w:r w:rsidRPr="00927D8E">
        <w:t>, which</w:t>
      </w:r>
      <w:r w:rsidR="008C3FDE" w:rsidRPr="00927D8E">
        <w:t xml:space="preserve"> only applies to unicast PDSCH</w:t>
      </w:r>
      <w:r w:rsidR="009E79A8" w:rsidRPr="00927D8E">
        <w:t xml:space="preserve"> at that time. In other words, a UE still needs to </w:t>
      </w:r>
      <w:r w:rsidR="001C4CC3" w:rsidRPr="00927D8E">
        <w:t xml:space="preserve">blindly </w:t>
      </w:r>
      <w:r w:rsidR="009E79A8" w:rsidRPr="00927D8E">
        <w:t xml:space="preserve">buffer OFDM symbols next to a common search space when the UE needs to decode the broadcast information. Such an issue can be </w:t>
      </w:r>
      <w:r w:rsidR="00BC3D91" w:rsidRPr="00927D8E">
        <w:t>re</w:t>
      </w:r>
      <w:r w:rsidR="009E79A8" w:rsidRPr="00927D8E">
        <w:t>solved by extending cross-slot scheduling to broadcast PDSCH. For example, assuming minimum K0 equal to 1 and CORESET of CSS is in the beginning</w:t>
      </w:r>
      <w:r w:rsidR="00C23143" w:rsidRPr="00927D8E">
        <w:t xml:space="preserve"> of</w:t>
      </w:r>
      <w:r w:rsidR="009E79A8" w:rsidRPr="00927D8E">
        <w:t xml:space="preserve"> two symbols in a slot, the gap between PDCCH and PDSCH is 12 OFDM symbols which </w:t>
      </w:r>
      <w:r w:rsidR="000E5E52" w:rsidRPr="00927D8E">
        <w:t xml:space="preserve">would </w:t>
      </w:r>
      <w:r w:rsidR="009E79A8" w:rsidRPr="00927D8E">
        <w:t xml:space="preserve">provide enough time for PDCCH decoding and avoid unnecessary buffering for the broadcast PDSCH. </w:t>
      </w:r>
    </w:p>
    <w:p w14:paraId="450D6B6D" w14:textId="77777777" w:rsidR="00CA5CB1" w:rsidRPr="00927D8E" w:rsidRDefault="00CA5CB1" w:rsidP="00F71D34"/>
    <w:p w14:paraId="15A9D14A" w14:textId="1AEEC0B8" w:rsidR="00CA5CB1" w:rsidRPr="0025776E" w:rsidRDefault="00CA5CB1" w:rsidP="00CA5CB1">
      <w:r w:rsidRPr="0025776E">
        <w:rPr>
          <w:b/>
          <w:bCs/>
        </w:rPr>
        <w:t xml:space="preserve">Proposal </w:t>
      </w:r>
      <w:r w:rsidR="0095705A" w:rsidRPr="0025776E">
        <w:rPr>
          <w:b/>
          <w:bCs/>
        </w:rPr>
        <w:t>4</w:t>
      </w:r>
      <w:r w:rsidRPr="0025776E">
        <w:rPr>
          <w:b/>
          <w:bCs/>
        </w:rPr>
        <w:t>:</w:t>
      </w:r>
      <w:r w:rsidRPr="0025776E">
        <w:t xml:space="preserve"> </w:t>
      </w:r>
    </w:p>
    <w:p w14:paraId="2ECEC00D" w14:textId="0418C6E1" w:rsidR="00CA5CB1" w:rsidRPr="00927D8E" w:rsidRDefault="009D2A51" w:rsidP="00CA5CB1">
      <w:pPr>
        <w:pStyle w:val="ListParagraph"/>
        <w:numPr>
          <w:ilvl w:val="0"/>
          <w:numId w:val="4"/>
        </w:numPr>
        <w:rPr>
          <w:sz w:val="20"/>
          <w:szCs w:val="20"/>
        </w:rPr>
      </w:pPr>
      <w:r w:rsidRPr="00927D8E">
        <w:t>Support the reduction of post-FFT data buffer to 5MHz in a slot</w:t>
      </w:r>
      <w:r w:rsidR="00395FAF">
        <w:t xml:space="preserve"> for both unicast and broadcast PDSCH</w:t>
      </w:r>
    </w:p>
    <w:p w14:paraId="2769FE24" w14:textId="1D023EEC" w:rsidR="009D2A51" w:rsidRPr="00927D8E" w:rsidRDefault="009D2A51" w:rsidP="009D2A51">
      <w:pPr>
        <w:pStyle w:val="ListParagraph"/>
        <w:numPr>
          <w:ilvl w:val="1"/>
          <w:numId w:val="4"/>
        </w:numPr>
        <w:rPr>
          <w:sz w:val="20"/>
          <w:szCs w:val="20"/>
        </w:rPr>
      </w:pPr>
      <w:r w:rsidRPr="00927D8E">
        <w:t xml:space="preserve">Alt 1: the location of the 5MHz frequency region for PDSCH transmission can be </w:t>
      </w:r>
      <w:r w:rsidR="00435535">
        <w:t xml:space="preserve">pre-defined or </w:t>
      </w:r>
      <w:r w:rsidRPr="00927D8E">
        <w:t>configured by high layer signaling</w:t>
      </w:r>
    </w:p>
    <w:p w14:paraId="6AA9D08F" w14:textId="5464154E" w:rsidR="009D2A51" w:rsidRPr="00927D8E" w:rsidRDefault="009D2A51" w:rsidP="009D2A51">
      <w:pPr>
        <w:pStyle w:val="ListParagraph"/>
        <w:numPr>
          <w:ilvl w:val="1"/>
          <w:numId w:val="4"/>
        </w:numPr>
        <w:rPr>
          <w:sz w:val="20"/>
          <w:szCs w:val="20"/>
        </w:rPr>
      </w:pPr>
      <w:r w:rsidRPr="00927D8E">
        <w:t xml:space="preserve">Alt 2: cross-slot scheduling is </w:t>
      </w:r>
      <w:r w:rsidR="00AE5D8C">
        <w:t>applied</w:t>
      </w:r>
      <w:r w:rsidR="00AE5D8C" w:rsidRPr="00927D8E">
        <w:t xml:space="preserve"> </w:t>
      </w:r>
      <w:r w:rsidRPr="00927D8E">
        <w:t xml:space="preserve">to both unicast and broadcast PDSCH. </w:t>
      </w:r>
    </w:p>
    <w:p w14:paraId="644BA979" w14:textId="5CAAD0F0" w:rsidR="00B32E47" w:rsidRPr="00927D8E" w:rsidRDefault="00B32E47" w:rsidP="00B32E47">
      <w:pPr>
        <w:pStyle w:val="Heading1"/>
        <w:keepLines/>
        <w:numPr>
          <w:ilvl w:val="1"/>
          <w:numId w:val="1"/>
        </w:numPr>
        <w:pBdr>
          <w:top w:val="single" w:sz="12" w:space="4" w:color="auto"/>
        </w:pBdr>
        <w:overflowPunct w:val="0"/>
        <w:snapToGrid/>
        <w:spacing w:before="240"/>
        <w:textAlignment w:val="baseline"/>
        <w:rPr>
          <w:rFonts w:ascii="Arial" w:hAnsi="Arial"/>
          <w:b w:val="0"/>
          <w:bCs w:val="0"/>
        </w:rPr>
      </w:pPr>
      <w:r w:rsidRPr="00927D8E">
        <w:rPr>
          <w:rFonts w:ascii="Arial" w:hAnsi="Arial"/>
          <w:b w:val="0"/>
          <w:bCs w:val="0"/>
        </w:rPr>
        <w:lastRenderedPageBreak/>
        <w:t xml:space="preserve">Enhancement on </w:t>
      </w:r>
      <w:r w:rsidR="00597CBE" w:rsidRPr="00927D8E">
        <w:rPr>
          <w:rFonts w:ascii="Arial" w:hAnsi="Arial"/>
          <w:b w:val="0"/>
          <w:bCs w:val="0"/>
        </w:rPr>
        <w:t>broadcast</w:t>
      </w:r>
      <w:r w:rsidRPr="00927D8E">
        <w:rPr>
          <w:rFonts w:ascii="Arial" w:hAnsi="Arial"/>
          <w:b w:val="0"/>
          <w:bCs w:val="0"/>
        </w:rPr>
        <w:t xml:space="preserve"> PDSCH transmission</w:t>
      </w:r>
    </w:p>
    <w:p w14:paraId="05FE59FF" w14:textId="6A33C909" w:rsidR="00597CBE" w:rsidRDefault="00597CBE" w:rsidP="00CA5CB1">
      <w:pPr>
        <w:rPr>
          <w:rFonts w:eastAsia="Times New Roman"/>
        </w:rPr>
      </w:pPr>
      <w:r w:rsidRPr="00927D8E">
        <w:rPr>
          <w:rFonts w:eastAsia="Times New Roman"/>
        </w:rPr>
        <w:t xml:space="preserve">In last RAN1 meeting, it was agreed that the SIB1 and broadcast OSI can be scheduled in larger than 5MHz. On the other hand, a common assumption is that eRedCap doesn’t have the capability to process all the allocated PRBs (&gt;5MHz) in a slot. </w:t>
      </w:r>
      <w:r w:rsidR="003A3800" w:rsidRPr="00927D8E">
        <w:rPr>
          <w:rFonts w:eastAsia="Times New Roman"/>
        </w:rPr>
        <w:t xml:space="preserve">According </w:t>
      </w:r>
      <w:r w:rsidR="003A3800">
        <w:rPr>
          <w:rFonts w:eastAsia="Times New Roman"/>
        </w:rPr>
        <w:t xml:space="preserve">to the evaluation in SI phase, the loss due to partial reception of SIB1 PDSCH is more than 10dB. Therefore, solutions to compensate the performance of broadcast PDSCH transmission should be considered. </w:t>
      </w:r>
    </w:p>
    <w:p w14:paraId="5FB44D16" w14:textId="43317658" w:rsidR="003A3800" w:rsidRDefault="003A3800" w:rsidP="00CA5CB1">
      <w:pPr>
        <w:rPr>
          <w:rFonts w:eastAsia="Times New Roman"/>
        </w:rPr>
      </w:pPr>
      <w:r>
        <w:rPr>
          <w:rFonts w:eastAsia="Times New Roman"/>
        </w:rPr>
        <w:t xml:space="preserve">Option 1: UE </w:t>
      </w:r>
      <w:r w:rsidR="00432854">
        <w:rPr>
          <w:rFonts w:eastAsia="Times New Roman"/>
        </w:rPr>
        <w:t>has post-FFT data</w:t>
      </w:r>
      <w:r>
        <w:rPr>
          <w:rFonts w:eastAsia="Times New Roman"/>
        </w:rPr>
        <w:t xml:space="preserve"> buffer </w:t>
      </w:r>
      <w:r w:rsidR="00432854">
        <w:rPr>
          <w:rFonts w:eastAsia="Times New Roman"/>
        </w:rPr>
        <w:t xml:space="preserve">of </w:t>
      </w:r>
      <w:r>
        <w:rPr>
          <w:rFonts w:eastAsia="Times New Roman"/>
        </w:rPr>
        <w:t xml:space="preserve">20MHz in a slot, hence all the PRBs of the broadcast PDSCH transmission can be used for decoding with a relaxed processing time. In this option, the existing SIB1/broadcast OSI transmission can be reused for all legacy UEs and eRedCap UEs. </w:t>
      </w:r>
      <w:r w:rsidR="003C358F">
        <w:rPr>
          <w:rFonts w:eastAsia="Times New Roman"/>
        </w:rPr>
        <w:t xml:space="preserve">This option doesn’t increase the resource overhead for the broadcast PDSCH transmission. </w:t>
      </w:r>
      <w:r>
        <w:rPr>
          <w:rFonts w:eastAsia="Times New Roman"/>
        </w:rPr>
        <w:t xml:space="preserve">However, as captured in Observation 1, this scheme essentially requires a buffer larger than 20MHz to account for the relaxed processing time. </w:t>
      </w:r>
    </w:p>
    <w:p w14:paraId="40BA408B" w14:textId="0D49DBC9" w:rsidR="003A3800" w:rsidRDefault="003A3800" w:rsidP="00CA5CB1">
      <w:pPr>
        <w:rPr>
          <w:rFonts w:eastAsia="Times New Roman"/>
        </w:rPr>
      </w:pPr>
      <w:r>
        <w:rPr>
          <w:rFonts w:eastAsia="Times New Roman"/>
        </w:rPr>
        <w:t xml:space="preserve">Option 2: </w:t>
      </w:r>
      <w:r w:rsidR="00432854">
        <w:rPr>
          <w:rFonts w:eastAsia="Times New Roman"/>
        </w:rPr>
        <w:t xml:space="preserve">The broadcast PDSCH can be repeatedly transmitted in multiple slots, so that UE can process 5MHz in each slot and do soft combining. </w:t>
      </w:r>
      <w:r w:rsidR="00856DD9">
        <w:rPr>
          <w:rFonts w:eastAsia="Times New Roman"/>
        </w:rPr>
        <w:t>I</w:t>
      </w:r>
      <w:r w:rsidR="00432854">
        <w:rPr>
          <w:rFonts w:eastAsia="Times New Roman"/>
        </w:rPr>
        <w:t>t can be up to UE implementation to retune the frequency in the multiple repetitions which may provide gain of frequency hopping and increment redundancy. However, since the additional repetitions are only for eRedCap UE</w:t>
      </w:r>
      <w:r w:rsidR="00856DD9">
        <w:rPr>
          <w:rFonts w:eastAsia="Times New Roman"/>
        </w:rPr>
        <w:t xml:space="preserve">, this option is not resource efficient. </w:t>
      </w:r>
    </w:p>
    <w:p w14:paraId="400F7E17" w14:textId="61F40930" w:rsidR="00856DD9" w:rsidRDefault="00856DD9" w:rsidP="00856DD9">
      <w:pPr>
        <w:rPr>
          <w:rFonts w:eastAsia="Times New Roman"/>
        </w:rPr>
      </w:pPr>
      <w:r>
        <w:rPr>
          <w:rFonts w:eastAsia="Times New Roman"/>
        </w:rPr>
        <w:t xml:space="preserve">Option 3: The broadcast PDSCH can be repeatedly transmitted with different number of allocated PRBs in multiple slots. In some slots, the number of allocated PRBs can be larger than 5MHz, which is optimized for legacy UE and can be used by eRedCap UE for partial reception. In the remaining slots, the number of allocated PRBs can be smaller </w:t>
      </w:r>
      <w:r w:rsidR="003C358F">
        <w:rPr>
          <w:rFonts w:eastAsia="Times New Roman"/>
        </w:rPr>
        <w:t xml:space="preserve">which </w:t>
      </w:r>
      <w:r>
        <w:rPr>
          <w:rFonts w:eastAsia="Times New Roman"/>
        </w:rPr>
        <w:t>target</w:t>
      </w:r>
      <w:r w:rsidR="003C358F">
        <w:rPr>
          <w:rFonts w:eastAsia="Times New Roman"/>
        </w:rPr>
        <w:t>s</w:t>
      </w:r>
      <w:r>
        <w:rPr>
          <w:rFonts w:eastAsia="Times New Roman"/>
        </w:rPr>
        <w:t xml:space="preserve"> </w:t>
      </w:r>
      <w:r w:rsidR="003C358F">
        <w:rPr>
          <w:rFonts w:eastAsia="Times New Roman"/>
        </w:rPr>
        <w:t xml:space="preserve">the </w:t>
      </w:r>
      <w:r>
        <w:rPr>
          <w:rFonts w:eastAsia="Times New Roman"/>
        </w:rPr>
        <w:t xml:space="preserve">eRedCap UE. gNB </w:t>
      </w:r>
      <w:r w:rsidR="00927D8E">
        <w:rPr>
          <w:rFonts w:eastAsia="Times New Roman"/>
        </w:rPr>
        <w:t>may</w:t>
      </w:r>
      <w:r>
        <w:rPr>
          <w:rFonts w:eastAsia="Times New Roman"/>
        </w:rPr>
        <w:t xml:space="preserve"> schedule the broadcast PDSCHs in different frequency locations of the remaining slots for diversity gain. </w:t>
      </w:r>
      <w:r w:rsidR="00927D8E">
        <w:rPr>
          <w:rFonts w:eastAsia="Times New Roman"/>
        </w:rPr>
        <w:t xml:space="preserve">The exact method to schedule the broadcast PDSCHs in remaining slots can be further discussed. </w:t>
      </w:r>
      <w:r w:rsidR="003C358F">
        <w:rPr>
          <w:rFonts w:eastAsia="Times New Roman"/>
        </w:rPr>
        <w:t xml:space="preserve">Option 3 requires less resource overhead than Option 2. </w:t>
      </w:r>
    </w:p>
    <w:p w14:paraId="1EC5BA93" w14:textId="77777777" w:rsidR="003C358F" w:rsidRPr="005B2C39" w:rsidRDefault="003C358F" w:rsidP="005C34EF">
      <w:pPr>
        <w:spacing w:after="0"/>
      </w:pPr>
    </w:p>
    <w:p w14:paraId="36DE3BE9" w14:textId="1E922F99" w:rsidR="005C34EF" w:rsidRDefault="005C34EF" w:rsidP="005C34EF">
      <w:r w:rsidRPr="002A4772">
        <w:rPr>
          <w:b/>
          <w:bCs/>
        </w:rPr>
        <w:t xml:space="preserve">Proposal </w:t>
      </w:r>
      <w:r w:rsidR="0095705A">
        <w:rPr>
          <w:b/>
          <w:bCs/>
        </w:rPr>
        <w:t>5</w:t>
      </w:r>
      <w:r w:rsidRPr="002A4772">
        <w:rPr>
          <w:b/>
          <w:bCs/>
        </w:rPr>
        <w:t>:</w:t>
      </w:r>
      <w:r w:rsidRPr="005B2C39">
        <w:t xml:space="preserve"> </w:t>
      </w:r>
    </w:p>
    <w:p w14:paraId="6C15E48C" w14:textId="6A1165DB" w:rsidR="00927D8E" w:rsidRDefault="00927D8E" w:rsidP="005C34EF">
      <w:pPr>
        <w:pStyle w:val="ListParagraph"/>
        <w:numPr>
          <w:ilvl w:val="0"/>
          <w:numId w:val="27"/>
        </w:numPr>
        <w:rPr>
          <w:rFonts w:eastAsia="Times New Roman"/>
        </w:rPr>
      </w:pPr>
      <w:r>
        <w:rPr>
          <w:rFonts w:eastAsia="Times New Roman"/>
        </w:rPr>
        <w:t>The broadcast PDSCH can be repeatedly transmitted with different number of allocated PRBs in multiple slots</w:t>
      </w:r>
      <w:r w:rsidRPr="00927D8E">
        <w:rPr>
          <w:rFonts w:eastAsia="Times New Roman"/>
        </w:rPr>
        <w:t xml:space="preserve"> </w:t>
      </w:r>
      <w:r>
        <w:rPr>
          <w:rFonts w:eastAsia="Times New Roman"/>
        </w:rPr>
        <w:t xml:space="preserve">to compensate the coverage loss </w:t>
      </w:r>
    </w:p>
    <w:p w14:paraId="387D6038" w14:textId="652799E7" w:rsidR="00927D8E" w:rsidRDefault="00927D8E" w:rsidP="00927D8E">
      <w:pPr>
        <w:pStyle w:val="ListParagraph"/>
        <w:numPr>
          <w:ilvl w:val="1"/>
          <w:numId w:val="27"/>
        </w:numPr>
        <w:rPr>
          <w:rFonts w:eastAsia="Times New Roman"/>
        </w:rPr>
      </w:pPr>
      <w:r>
        <w:rPr>
          <w:rFonts w:eastAsia="Times New Roman"/>
        </w:rPr>
        <w:t xml:space="preserve">FFS details on scheduling some of the broadcast PDSCH in slot(s) for eRedCap UE. </w:t>
      </w:r>
    </w:p>
    <w:p w14:paraId="298B819B" w14:textId="77777777" w:rsidR="00CE3472" w:rsidRDefault="00CE3472" w:rsidP="004D44F0">
      <w:pPr>
        <w:rPr>
          <w:rFonts w:eastAsia="Times New Roman"/>
        </w:rPr>
      </w:pPr>
    </w:p>
    <w:p w14:paraId="3B482316" w14:textId="07E5F842" w:rsidR="004D44F0" w:rsidRDefault="00CE3472" w:rsidP="004D44F0">
      <w:pPr>
        <w:rPr>
          <w:rFonts w:eastAsia="Times New Roman"/>
        </w:rPr>
      </w:pPr>
      <w:r>
        <w:rPr>
          <w:rFonts w:eastAsia="Times New Roman"/>
        </w:rPr>
        <w:t xml:space="preserve">The paging PDSCH is different from SIB1 or broadcast OSI since the network can know the UE type before transmitting the paging PDSCH. That is, </w:t>
      </w:r>
      <w:r w:rsidR="00C74D46">
        <w:rPr>
          <w:rFonts w:eastAsia="Times New Roman"/>
        </w:rPr>
        <w:t>a</w:t>
      </w:r>
      <w:r>
        <w:rPr>
          <w:rFonts w:eastAsia="Times New Roman"/>
        </w:rPr>
        <w:t xml:space="preserve"> UE should already report its type, i.e., eRedCap UE or not</w:t>
      </w:r>
      <w:r w:rsidR="00C74D46">
        <w:rPr>
          <w:rFonts w:eastAsia="Times New Roman"/>
        </w:rPr>
        <w:t xml:space="preserve"> when the UE camped to the network. Therefore, gNB may send separate paging PDSCHs for eRedCap UEs from the legacy UEs. The paging PDSCH for eRedCap UE is preferably restricted with 5MHz for better link performance. On the other hand, since partial reception is anyways supported for SIB1 or broadcast OSI, it doesn’t cause any difficulty to also support partial reception for paging PDSCH. It could be up to gNB implementation to schedule paging PDSCH in 5MHz or more than 5MHz for eRedCap UE. </w:t>
      </w:r>
    </w:p>
    <w:p w14:paraId="1C71A8A3" w14:textId="4F5F3295" w:rsidR="00C74D46" w:rsidRDefault="00C74D46" w:rsidP="004D44F0">
      <w:pPr>
        <w:rPr>
          <w:rFonts w:eastAsia="Times New Roman"/>
        </w:rPr>
      </w:pPr>
    </w:p>
    <w:p w14:paraId="285F1C85" w14:textId="6938C763" w:rsidR="00C74D46" w:rsidRDefault="00C74D46" w:rsidP="00C74D46">
      <w:r w:rsidRPr="002A4772">
        <w:rPr>
          <w:b/>
          <w:bCs/>
        </w:rPr>
        <w:t xml:space="preserve">Proposal </w:t>
      </w:r>
      <w:r w:rsidR="0095705A">
        <w:rPr>
          <w:b/>
          <w:bCs/>
        </w:rPr>
        <w:t>6</w:t>
      </w:r>
      <w:r w:rsidRPr="002A4772">
        <w:rPr>
          <w:b/>
          <w:bCs/>
        </w:rPr>
        <w:t>:</w:t>
      </w:r>
      <w:r w:rsidRPr="005B2C39">
        <w:t xml:space="preserve"> </w:t>
      </w:r>
    </w:p>
    <w:p w14:paraId="629083FE" w14:textId="77777777" w:rsidR="00C74D46" w:rsidRDefault="00C74D46" w:rsidP="00C74D46">
      <w:pPr>
        <w:pStyle w:val="ListParagraph"/>
        <w:numPr>
          <w:ilvl w:val="0"/>
          <w:numId w:val="27"/>
        </w:numPr>
        <w:rPr>
          <w:rFonts w:eastAsia="Times New Roman"/>
        </w:rPr>
      </w:pPr>
      <w:r>
        <w:rPr>
          <w:rFonts w:eastAsia="Times New Roman"/>
        </w:rPr>
        <w:t xml:space="preserve">It could be up to gNB implementation to schedule paging PDSCH in 5MHz or more than 5MHz for eRedCap UE </w:t>
      </w:r>
    </w:p>
    <w:p w14:paraId="31182CAB" w14:textId="77777777" w:rsidR="00C639CC" w:rsidRDefault="00C639CC" w:rsidP="00C639CC">
      <w:pPr>
        <w:pStyle w:val="Heading1"/>
        <w:keepLines/>
        <w:numPr>
          <w:ilvl w:val="1"/>
          <w:numId w:val="1"/>
        </w:numPr>
        <w:pBdr>
          <w:top w:val="single" w:sz="12" w:space="4" w:color="auto"/>
        </w:pBdr>
        <w:overflowPunct w:val="0"/>
        <w:snapToGrid/>
        <w:spacing w:before="240"/>
        <w:textAlignment w:val="baseline"/>
        <w:rPr>
          <w:rFonts w:ascii="Arial" w:hAnsi="Arial"/>
          <w:b w:val="0"/>
          <w:bCs w:val="0"/>
        </w:rPr>
      </w:pPr>
      <w:r w:rsidRPr="00B32E47">
        <w:rPr>
          <w:rFonts w:ascii="Arial" w:hAnsi="Arial"/>
          <w:b w:val="0"/>
          <w:bCs w:val="0"/>
        </w:rPr>
        <w:t>Details on FDRA</w:t>
      </w:r>
    </w:p>
    <w:p w14:paraId="4D8A6068" w14:textId="7AEE4D9B" w:rsidR="00653F02" w:rsidRDefault="00927D8E" w:rsidP="00927D8E">
      <w:r>
        <w:t xml:space="preserve">According to agreement in last RAN1 meeting, an eRedCap UE can only transmit PUSCH or process PDSCH in 5MHz frequency region in the UL/DL BWP. </w:t>
      </w:r>
      <w:r w:rsidR="00653F02">
        <w:t xml:space="preserve">Enhancement on FDRA can be considered. </w:t>
      </w:r>
      <w:r w:rsidR="00653F02">
        <w:lastRenderedPageBreak/>
        <w:t xml:space="preserve">Particularly, for FDRA type 0 in 20MHz BWP, the existing RBG size can be configured to be 4 or 8 for SCS 30kHz. Correspondingly, the 5MHz of eRedCap UE only include 3 or 2 RBGs. Such granularity is too large which largely impact the resource allocation efficiency. It is preferred that the FDRA for eRedCap UE should exploit the constraint of 5MHz. </w:t>
      </w:r>
    </w:p>
    <w:p w14:paraId="424EFB1B" w14:textId="64B19017" w:rsidR="00653F02" w:rsidRPr="00653F02" w:rsidRDefault="00653F02" w:rsidP="00653F02">
      <w:pPr>
        <w:pStyle w:val="ListParagraph"/>
        <w:numPr>
          <w:ilvl w:val="0"/>
          <w:numId w:val="27"/>
        </w:numPr>
        <w:rPr>
          <w:sz w:val="24"/>
          <w:szCs w:val="24"/>
        </w:rPr>
      </w:pPr>
      <w:r w:rsidRPr="00653F02">
        <w:t xml:space="preserve">For FDRA </w:t>
      </w:r>
      <w:r>
        <w:t xml:space="preserve">type 0, the RBG size can be determined </w:t>
      </w:r>
      <w:r w:rsidR="00363666">
        <w:t xml:space="preserve">as if it is a BWP of 5MHz. </w:t>
      </w:r>
    </w:p>
    <w:p w14:paraId="005E8D60" w14:textId="677B0E9F" w:rsidR="00653F02" w:rsidRPr="00653F02" w:rsidRDefault="00653F02" w:rsidP="00FB1071">
      <w:pPr>
        <w:pStyle w:val="ListParagraph"/>
        <w:numPr>
          <w:ilvl w:val="0"/>
          <w:numId w:val="27"/>
        </w:numPr>
        <w:rPr>
          <w:sz w:val="24"/>
          <w:szCs w:val="24"/>
        </w:rPr>
      </w:pPr>
      <w:r w:rsidRPr="00653F02">
        <w:t xml:space="preserve">For FDRA </w:t>
      </w:r>
      <w:r>
        <w:t>type 1, RIV based indication in 5MHz allows FDRA field size reduction of 4 bits</w:t>
      </w:r>
    </w:p>
    <w:p w14:paraId="5921C54B" w14:textId="17874386" w:rsidR="00653F02" w:rsidRDefault="00363666" w:rsidP="00927D8E">
      <w:r>
        <w:t xml:space="preserve">To support the enhancement on FDRA, the 5MHz frequency region should be indicated to the UE. two options can be considered. </w:t>
      </w:r>
    </w:p>
    <w:p w14:paraId="2D326A91" w14:textId="778A6524" w:rsidR="00363666" w:rsidRDefault="00363666" w:rsidP="00C528E8">
      <w:r>
        <w:t>Option 1:</w:t>
      </w:r>
      <w:r w:rsidR="008D1935">
        <w:t xml:space="preserve"> the </w:t>
      </w:r>
      <w:r>
        <w:t>5MHz frequency region for</w:t>
      </w:r>
      <w:r w:rsidR="008D1935">
        <w:t xml:space="preserve"> eRedCap UE can be semi-statically configured. </w:t>
      </w:r>
      <w:r>
        <w:t xml:space="preserve">This option enables the </w:t>
      </w:r>
      <w:r w:rsidR="00305C51">
        <w:t xml:space="preserve">smallest </w:t>
      </w:r>
      <w:r>
        <w:t xml:space="preserve">post-FFT data buffering as discussed in section 2.1. </w:t>
      </w:r>
    </w:p>
    <w:p w14:paraId="079F1F6B" w14:textId="0E5C5344" w:rsidR="008D1935" w:rsidRDefault="00363666" w:rsidP="00363666">
      <w:r>
        <w:t xml:space="preserve">Option 2: the 5MHz frequency region for eRedCap UE can be dynamically indicated together with the FDRA within the 5MHz frequency region. </w:t>
      </w:r>
      <w:r w:rsidR="008D1935">
        <w:t xml:space="preserve">For example, for a BWP of 20MHz, 4 </w:t>
      </w:r>
      <w:r w:rsidR="00475DE5">
        <w:t xml:space="preserve">frequency </w:t>
      </w:r>
      <w:r w:rsidR="008D1935">
        <w:t>regions can be defined which requires 2 bits for indication.</w:t>
      </w:r>
      <w:r w:rsidR="00475DE5">
        <w:t xml:space="preserve"> </w:t>
      </w:r>
      <w:r>
        <w:t xml:space="preserve">This option allows better flexibility in frequency resource allocation and gain of frequency selective scheduling. </w:t>
      </w:r>
    </w:p>
    <w:p w14:paraId="6C0052B1" w14:textId="77777777" w:rsidR="008D1935" w:rsidRDefault="008D1935" w:rsidP="00D73443">
      <w:pPr>
        <w:spacing w:after="0"/>
      </w:pPr>
    </w:p>
    <w:p w14:paraId="55F5FE4F" w14:textId="135718C2" w:rsidR="008D1935" w:rsidRDefault="008D1935" w:rsidP="008D1935">
      <w:r w:rsidRPr="002A4772">
        <w:rPr>
          <w:b/>
          <w:bCs/>
        </w:rPr>
        <w:t xml:space="preserve">Proposal </w:t>
      </w:r>
      <w:r w:rsidR="0095705A">
        <w:rPr>
          <w:b/>
          <w:bCs/>
        </w:rPr>
        <w:t>7</w:t>
      </w:r>
      <w:r w:rsidRPr="002A4772">
        <w:rPr>
          <w:b/>
          <w:bCs/>
        </w:rPr>
        <w:t>:</w:t>
      </w:r>
      <w:r w:rsidRPr="005B2C39">
        <w:t xml:space="preserve"> </w:t>
      </w:r>
    </w:p>
    <w:p w14:paraId="18673045" w14:textId="1A282A52" w:rsidR="00363666" w:rsidRDefault="00363666" w:rsidP="008D1935">
      <w:pPr>
        <w:pStyle w:val="ListParagraph"/>
        <w:numPr>
          <w:ilvl w:val="0"/>
          <w:numId w:val="27"/>
        </w:numPr>
        <w:rPr>
          <w:rFonts w:eastAsia="Times New Roman"/>
        </w:rPr>
      </w:pPr>
      <w:r>
        <w:rPr>
          <w:rFonts w:eastAsia="Times New Roman"/>
        </w:rPr>
        <w:t xml:space="preserve">FDRA field for eRedCap UE should exploit the constraint of 5MHz BB bandwidth. </w:t>
      </w:r>
    </w:p>
    <w:p w14:paraId="07D81C7F" w14:textId="584D3F40" w:rsidR="00363666" w:rsidRDefault="00363666" w:rsidP="008D1935">
      <w:pPr>
        <w:pStyle w:val="ListParagraph"/>
        <w:numPr>
          <w:ilvl w:val="0"/>
          <w:numId w:val="27"/>
        </w:numPr>
        <w:rPr>
          <w:rFonts w:eastAsia="Times New Roman"/>
        </w:rPr>
      </w:pPr>
      <w:r>
        <w:rPr>
          <w:rFonts w:eastAsia="Times New Roman"/>
        </w:rPr>
        <w:t>Two options indicating the 5MHz frequency region for eRedCap UE can be considered</w:t>
      </w:r>
    </w:p>
    <w:p w14:paraId="34F36814" w14:textId="3E0023C0" w:rsidR="00363666" w:rsidRPr="00363666" w:rsidRDefault="00363666" w:rsidP="00363666">
      <w:pPr>
        <w:pStyle w:val="ListParagraph"/>
        <w:numPr>
          <w:ilvl w:val="1"/>
          <w:numId w:val="27"/>
        </w:numPr>
        <w:rPr>
          <w:rFonts w:eastAsia="Times New Roman"/>
        </w:rPr>
      </w:pPr>
      <w:r w:rsidRPr="00363666">
        <w:rPr>
          <w:rFonts w:eastAsia="Times New Roman"/>
        </w:rPr>
        <w:t xml:space="preserve">Option 1: the 5MHz frequency region can be semi-statically configured. </w:t>
      </w:r>
    </w:p>
    <w:p w14:paraId="268062C7" w14:textId="26686521" w:rsidR="00363666" w:rsidRPr="00363666" w:rsidRDefault="00363666" w:rsidP="00363666">
      <w:pPr>
        <w:pStyle w:val="ListParagraph"/>
        <w:numPr>
          <w:ilvl w:val="1"/>
          <w:numId w:val="27"/>
        </w:numPr>
        <w:rPr>
          <w:rFonts w:eastAsia="Times New Roman"/>
        </w:rPr>
      </w:pPr>
      <w:r w:rsidRPr="00363666">
        <w:rPr>
          <w:rFonts w:eastAsia="Times New Roman"/>
        </w:rPr>
        <w:t xml:space="preserve">Option 2: the 5MHz frequency region can be dynamically indicated together with the FDRA within the 5MHz frequency region. </w:t>
      </w:r>
    </w:p>
    <w:p w14:paraId="61817992" w14:textId="77777777" w:rsidR="00B32E47" w:rsidRDefault="00B32E47" w:rsidP="00B32E47">
      <w:pPr>
        <w:pStyle w:val="Heading1"/>
        <w:keepLines/>
        <w:numPr>
          <w:ilvl w:val="1"/>
          <w:numId w:val="1"/>
        </w:numPr>
        <w:pBdr>
          <w:top w:val="single" w:sz="12" w:space="4" w:color="auto"/>
        </w:pBdr>
        <w:overflowPunct w:val="0"/>
        <w:snapToGrid/>
        <w:spacing w:before="240"/>
        <w:textAlignment w:val="baseline"/>
        <w:rPr>
          <w:rFonts w:ascii="Arial" w:hAnsi="Arial"/>
          <w:b w:val="0"/>
          <w:bCs w:val="0"/>
        </w:rPr>
      </w:pPr>
      <w:r w:rsidRPr="00B32E47">
        <w:rPr>
          <w:rFonts w:ascii="Arial" w:hAnsi="Arial"/>
          <w:b w:val="0"/>
          <w:bCs w:val="0"/>
        </w:rPr>
        <w:t xml:space="preserve">Early identification </w:t>
      </w:r>
    </w:p>
    <w:p w14:paraId="6C03978E" w14:textId="77777777" w:rsidR="0098789C" w:rsidRDefault="00D73443" w:rsidP="00B32E47">
      <w:pPr>
        <w:rPr>
          <w:rFonts w:eastAsia="Times New Roman"/>
        </w:rPr>
      </w:pPr>
      <w:r>
        <w:rPr>
          <w:rFonts w:eastAsia="Times New Roman"/>
        </w:rPr>
        <w:t>Early identification was introduced for Rel-17 RedCap UE. Since Rel-17 RedCap UE has smaller number of Rx chains</w:t>
      </w:r>
      <w:r w:rsidR="0098789C">
        <w:rPr>
          <w:rFonts w:eastAsia="Times New Roman"/>
        </w:rPr>
        <w:t xml:space="preserve"> or less antenna gain due to small form factor</w:t>
      </w:r>
      <w:r>
        <w:rPr>
          <w:rFonts w:eastAsia="Times New Roman"/>
        </w:rPr>
        <w:t xml:space="preserve">, the link performance for the reception of PDCCH and PDSCH is reduced. </w:t>
      </w:r>
      <w:r w:rsidR="0098789C">
        <w:rPr>
          <w:rFonts w:eastAsia="Times New Roman"/>
        </w:rPr>
        <w:t xml:space="preserve">Early identification helps to avoid conservative scheduling if the target UE is legacy UE. </w:t>
      </w:r>
    </w:p>
    <w:p w14:paraId="6C456C44" w14:textId="24D7E483" w:rsidR="00D73443" w:rsidRDefault="0098789C" w:rsidP="00B32E47">
      <w:pPr>
        <w:rPr>
          <w:rFonts w:eastAsia="Times New Roman"/>
        </w:rPr>
      </w:pPr>
      <w:r>
        <w:rPr>
          <w:rFonts w:eastAsia="Times New Roman"/>
        </w:rPr>
        <w:t>I</w:t>
      </w:r>
      <w:r w:rsidR="00D73443">
        <w:rPr>
          <w:rFonts w:eastAsia="Times New Roman"/>
        </w:rPr>
        <w:t xml:space="preserve">t is questionable whether early identification between Rel-17 RedCap UE and eRedCap UE is necessary or not. In general, the same number of Rx chain (i.e., 1 Rx) and form factor </w:t>
      </w:r>
      <w:r w:rsidR="00E62A94">
        <w:rPr>
          <w:rFonts w:eastAsia="Times New Roman"/>
        </w:rPr>
        <w:t xml:space="preserve">apply </w:t>
      </w:r>
      <w:r w:rsidR="00D73443">
        <w:rPr>
          <w:rFonts w:eastAsia="Times New Roman"/>
        </w:rPr>
        <w:t>to both Rel-17 RedCap UE and eRedCap UE. The link performance for the detection of PDCCH in Type0/0A/1/2 CSS commonly applies</w:t>
      </w:r>
      <w:r w:rsidR="00A42572">
        <w:rPr>
          <w:rFonts w:eastAsia="Times New Roman"/>
        </w:rPr>
        <w:t xml:space="preserve"> to eRedCap UEs and legacy UEs</w:t>
      </w:r>
      <w:r w:rsidR="00D73443">
        <w:rPr>
          <w:rFonts w:eastAsia="Times New Roman"/>
        </w:rPr>
        <w:t xml:space="preserve">. Since the TBS of Msg2 is </w:t>
      </w:r>
      <w:r w:rsidR="008013B2">
        <w:rPr>
          <w:rFonts w:eastAsia="Times New Roman"/>
        </w:rPr>
        <w:t>relatively small</w:t>
      </w:r>
      <w:r w:rsidR="00D73443">
        <w:rPr>
          <w:rFonts w:eastAsia="Times New Roman"/>
        </w:rPr>
        <w:t xml:space="preserve">, it is expected that Msg2 can be received by eRedCap UE without puncturing. </w:t>
      </w:r>
      <w:r w:rsidR="00A42572">
        <w:rPr>
          <w:rFonts w:eastAsia="Times New Roman"/>
        </w:rPr>
        <w:t xml:space="preserve">Similarly, it would be fine to restrict the FDRA </w:t>
      </w:r>
      <w:r w:rsidR="004D44F0">
        <w:rPr>
          <w:rFonts w:eastAsia="Times New Roman"/>
        </w:rPr>
        <w:t xml:space="preserve">of Msg3 </w:t>
      </w:r>
      <w:r w:rsidR="00A42572">
        <w:rPr>
          <w:rFonts w:eastAsia="Times New Roman"/>
        </w:rPr>
        <w:t>in 5MHz</w:t>
      </w:r>
      <w:r w:rsidR="004D44F0">
        <w:rPr>
          <w:rFonts w:eastAsia="Times New Roman"/>
        </w:rPr>
        <w:t xml:space="preserve"> due to the small TBS of Msg3</w:t>
      </w:r>
      <w:r w:rsidR="00A42572">
        <w:rPr>
          <w:rFonts w:eastAsia="Times New Roman"/>
        </w:rPr>
        <w:t xml:space="preserve">. Note: Frequency hopping within 20MHz BWP </w:t>
      </w:r>
      <w:r w:rsidR="004D44F0">
        <w:rPr>
          <w:rFonts w:eastAsia="Times New Roman"/>
        </w:rPr>
        <w:t xml:space="preserve">for Msg3 </w:t>
      </w:r>
      <w:r w:rsidR="00A42572">
        <w:rPr>
          <w:rFonts w:eastAsia="Times New Roman"/>
        </w:rPr>
        <w:t xml:space="preserve">can still be supported as other PUSCHs. </w:t>
      </w:r>
      <w:r w:rsidR="00D73443">
        <w:rPr>
          <w:rFonts w:eastAsia="Times New Roman"/>
        </w:rPr>
        <w:t xml:space="preserve">Msg4 may have a problem if the TBS of Msg4 is too large which results in </w:t>
      </w:r>
      <w:r w:rsidR="004D44F0">
        <w:rPr>
          <w:rFonts w:eastAsia="Times New Roman"/>
        </w:rPr>
        <w:t xml:space="preserve">a </w:t>
      </w:r>
      <w:r w:rsidR="005D369E">
        <w:rPr>
          <w:rFonts w:eastAsia="Times New Roman"/>
        </w:rPr>
        <w:t xml:space="preserve">resource allocation </w:t>
      </w:r>
      <w:r w:rsidR="004D44F0">
        <w:rPr>
          <w:rFonts w:eastAsia="Times New Roman"/>
        </w:rPr>
        <w:t>exceeding 5MHz</w:t>
      </w:r>
      <w:r w:rsidR="005D369E">
        <w:t xml:space="preserve">. However, if eRedCap UE can be differentiated by at Msg3, gNB can schedule the proper Msg4 transmission accordingly. </w:t>
      </w:r>
    </w:p>
    <w:p w14:paraId="3AD75395" w14:textId="77777777" w:rsidR="00D73443" w:rsidRDefault="00D73443" w:rsidP="00B32E47">
      <w:pPr>
        <w:rPr>
          <w:rFonts w:eastAsia="Times New Roman"/>
        </w:rPr>
      </w:pPr>
    </w:p>
    <w:p w14:paraId="67329EFD" w14:textId="0F5D7590" w:rsidR="005D369E" w:rsidRDefault="00B32E47" w:rsidP="00B32E47">
      <w:pPr>
        <w:rPr>
          <w:b/>
          <w:bCs/>
        </w:rPr>
      </w:pPr>
      <w:r w:rsidRPr="00A90559">
        <w:rPr>
          <w:b/>
          <w:bCs/>
        </w:rPr>
        <w:t xml:space="preserve">Proposal </w:t>
      </w:r>
      <w:r w:rsidR="0095705A">
        <w:rPr>
          <w:b/>
          <w:bCs/>
        </w:rPr>
        <w:t>8</w:t>
      </w:r>
    </w:p>
    <w:p w14:paraId="1376DF1D" w14:textId="24BE6A68" w:rsidR="004D44F0" w:rsidRPr="00074E7F" w:rsidRDefault="004D44F0" w:rsidP="004D44F0">
      <w:pPr>
        <w:numPr>
          <w:ilvl w:val="0"/>
          <w:numId w:val="27"/>
        </w:numPr>
        <w:autoSpaceDE/>
        <w:autoSpaceDN/>
        <w:adjustRightInd/>
        <w:snapToGrid/>
        <w:spacing w:after="0"/>
        <w:jc w:val="left"/>
      </w:pPr>
      <w:r w:rsidRPr="00074E7F">
        <w:t xml:space="preserve">For UE BB bandwidth reduction, a UE </w:t>
      </w:r>
      <w:r>
        <w:t>is not</w:t>
      </w:r>
      <w:r w:rsidRPr="00074E7F">
        <w:t xml:space="preserve"> expected to receive an UL grant in a RAR with a Msg3 PUSCH resource allocation spanning a bandwidth of more than ~5 MHz per slot or per hop, if applicable.</w:t>
      </w:r>
    </w:p>
    <w:p w14:paraId="7FD23441" w14:textId="77777777" w:rsidR="005D369E" w:rsidRDefault="005D369E" w:rsidP="005D369E">
      <w:pPr>
        <w:pStyle w:val="ListParagraph"/>
        <w:numPr>
          <w:ilvl w:val="0"/>
          <w:numId w:val="27"/>
        </w:numPr>
      </w:pPr>
      <w:r>
        <w:t>E</w:t>
      </w:r>
      <w:r w:rsidRPr="005B2C39">
        <w:t xml:space="preserve">arly identification of </w:t>
      </w:r>
      <w:r>
        <w:t>eRedCap UE by Msg1 is not necessary.</w:t>
      </w:r>
    </w:p>
    <w:p w14:paraId="3E2BA8B6" w14:textId="0BA3B4C4" w:rsidR="005D369E" w:rsidRDefault="005D369E" w:rsidP="005D369E">
      <w:pPr>
        <w:pStyle w:val="ListParagraph"/>
        <w:numPr>
          <w:ilvl w:val="0"/>
          <w:numId w:val="27"/>
        </w:numPr>
      </w:pPr>
      <w:r>
        <w:t>E</w:t>
      </w:r>
      <w:r w:rsidRPr="005B2C39">
        <w:t xml:space="preserve">arly identification of </w:t>
      </w:r>
      <w:r>
        <w:t>eRedCap UE by Msg3 can be considered.</w:t>
      </w:r>
    </w:p>
    <w:p w14:paraId="654C2EF5" w14:textId="7E3548D2" w:rsidR="00B32E47" w:rsidRDefault="00B32E47" w:rsidP="00B32E47">
      <w:pPr>
        <w:pStyle w:val="Heading1"/>
        <w:keepLines/>
        <w:numPr>
          <w:ilvl w:val="1"/>
          <w:numId w:val="1"/>
        </w:numPr>
        <w:pBdr>
          <w:top w:val="single" w:sz="12" w:space="4" w:color="auto"/>
        </w:pBdr>
        <w:overflowPunct w:val="0"/>
        <w:snapToGrid/>
        <w:spacing w:before="240"/>
        <w:textAlignment w:val="baseline"/>
        <w:rPr>
          <w:rFonts w:ascii="Arial" w:hAnsi="Arial"/>
          <w:b w:val="0"/>
          <w:bCs w:val="0"/>
        </w:rPr>
      </w:pPr>
      <w:r>
        <w:rPr>
          <w:rFonts w:ascii="Arial" w:hAnsi="Arial"/>
          <w:b w:val="0"/>
          <w:bCs w:val="0"/>
        </w:rPr>
        <w:lastRenderedPageBreak/>
        <w:t>Number of broadcast/unicast PDSCHs in a slot</w:t>
      </w:r>
    </w:p>
    <w:p w14:paraId="11C8C9C3" w14:textId="6EC029CF" w:rsidR="005D369E" w:rsidRDefault="005D369E" w:rsidP="00B32E47">
      <w:pPr>
        <w:rPr>
          <w:rFonts w:eastAsia="Times New Roman"/>
        </w:rPr>
      </w:pPr>
      <w:r>
        <w:rPr>
          <w:rFonts w:eastAsia="Times New Roman"/>
        </w:rPr>
        <w:t>In current NR, a UE can receive two broadcast PDSCHs or one broadcast PDSCH plus one unicast PDSCH which are FDM multiplexed</w:t>
      </w:r>
      <w:r w:rsidR="007A37C5">
        <w:rPr>
          <w:rFonts w:eastAsia="Times New Roman"/>
        </w:rPr>
        <w:t xml:space="preserve"> in a slot</w:t>
      </w:r>
      <w:r>
        <w:rPr>
          <w:rFonts w:eastAsia="Times New Roman"/>
        </w:rPr>
        <w:t xml:space="preserve">, as specified in the specification. </w:t>
      </w:r>
    </w:p>
    <w:tbl>
      <w:tblPr>
        <w:tblStyle w:val="TableGrid"/>
        <w:tblW w:w="0" w:type="auto"/>
        <w:tblLook w:val="04A0" w:firstRow="1" w:lastRow="0" w:firstColumn="1" w:lastColumn="0" w:noHBand="0" w:noVBand="1"/>
      </w:tblPr>
      <w:tblGrid>
        <w:gridCol w:w="9350"/>
      </w:tblGrid>
      <w:tr w:rsidR="005D369E" w14:paraId="716828B3" w14:textId="77777777" w:rsidTr="005D369E">
        <w:tc>
          <w:tcPr>
            <w:tcW w:w="9350" w:type="dxa"/>
          </w:tcPr>
          <w:p w14:paraId="26D05EFB" w14:textId="77777777" w:rsidR="005D369E" w:rsidRPr="00146651" w:rsidRDefault="005D369E" w:rsidP="005D369E">
            <w:pPr>
              <w:rPr>
                <w:color w:val="000000"/>
                <w:kern w:val="2"/>
              </w:rPr>
            </w:pPr>
            <w:r>
              <w:rPr>
                <w:color w:val="000000"/>
                <w:kern w:val="2"/>
              </w:rPr>
              <w:t>The UE in RRC_IDLE and RRC_INACTIVE modes shall be able to decode two PDSCHs each scheduled with SI-RNTI, P-RNTI, RA-RNTI or TC-RNTI, with the two PDSCHs partially or fully overlapping in time in non-overlapping PRBs.</w:t>
            </w:r>
          </w:p>
          <w:p w14:paraId="22D885DF" w14:textId="77777777" w:rsidR="005D369E" w:rsidRPr="00146651" w:rsidRDefault="005D369E" w:rsidP="005D369E">
            <w:pPr>
              <w:rPr>
                <w:color w:val="000000"/>
                <w:kern w:val="2"/>
              </w:rPr>
            </w:pPr>
            <w:r>
              <w:rPr>
                <w:color w:val="000000"/>
                <w:kern w:val="2"/>
              </w:rPr>
              <w:t>On a frequency r</w:t>
            </w:r>
            <w:r w:rsidRPr="00146651">
              <w:rPr>
                <w:color w:val="000000"/>
                <w:kern w:val="2"/>
              </w:rPr>
              <w:t xml:space="preserve">ange 1 cell, the UE </w:t>
            </w:r>
            <w:r>
              <w:rPr>
                <w:color w:val="000000"/>
                <w:kern w:val="2"/>
              </w:rPr>
              <w:t>shall be able</w:t>
            </w:r>
            <w:r w:rsidRPr="00146651">
              <w:rPr>
                <w:color w:val="000000"/>
                <w:kern w:val="2"/>
              </w:rPr>
              <w:t xml:space="preserve"> to decode a PDSCH scheduled with C-RNTI</w:t>
            </w:r>
            <w:r>
              <w:rPr>
                <w:color w:val="000000"/>
                <w:kern w:val="2"/>
              </w:rPr>
              <w:t>, MCS-C-RNTI,</w:t>
            </w:r>
            <w:r w:rsidRPr="00146651">
              <w:rPr>
                <w:color w:val="000000"/>
                <w:kern w:val="2"/>
              </w:rPr>
              <w:t xml:space="preserve"> or CS-RNTI </w:t>
            </w:r>
            <w:r>
              <w:rPr>
                <w:color w:val="000000"/>
                <w:kern w:val="2"/>
              </w:rPr>
              <w:t>and</w:t>
            </w:r>
            <w:r w:rsidRPr="00146651">
              <w:rPr>
                <w:color w:val="000000"/>
                <w:kern w:val="2"/>
              </w:rPr>
              <w:t xml:space="preserve">, during a process of P-RNTI triggered SI acquisition, another PDSCH scheduled with SI-RNTI </w:t>
            </w:r>
            <w:r>
              <w:rPr>
                <w:color w:val="000000"/>
                <w:kern w:val="2"/>
              </w:rPr>
              <w:t xml:space="preserve">that </w:t>
            </w:r>
            <w:r w:rsidRPr="00146651">
              <w:rPr>
                <w:color w:val="000000"/>
                <w:kern w:val="2"/>
              </w:rPr>
              <w:t>partially or fully overlap in time</w:t>
            </w:r>
            <w:r>
              <w:rPr>
                <w:color w:val="000000"/>
                <w:kern w:val="2"/>
              </w:rPr>
              <w:t xml:space="preserve"> in non-overlapping PRBs</w:t>
            </w:r>
            <w:r w:rsidRPr="00B4696E">
              <w:rPr>
                <w:color w:val="000000"/>
                <w:kern w:val="2"/>
              </w:rPr>
              <w:t>, unless the PDSCH scheduled with C-RNTI</w:t>
            </w:r>
            <w:r>
              <w:rPr>
                <w:color w:val="000000"/>
                <w:kern w:val="2"/>
              </w:rPr>
              <w:t>, MCS-C-RNTI,</w:t>
            </w:r>
            <w:r w:rsidRPr="00B4696E">
              <w:rPr>
                <w:color w:val="000000"/>
                <w:kern w:val="2"/>
              </w:rPr>
              <w:t xml:space="preserve"> or CS-RNTI requires</w:t>
            </w:r>
            <w:r>
              <w:rPr>
                <w:color w:val="000000"/>
                <w:kern w:val="2"/>
              </w:rPr>
              <w:t xml:space="preserve"> Capability </w:t>
            </w:r>
            <w:r w:rsidRPr="00B4696E">
              <w:rPr>
                <w:color w:val="000000"/>
                <w:kern w:val="2"/>
              </w:rPr>
              <w:t xml:space="preserve">2 processing time according to </w:t>
            </w:r>
            <w:r>
              <w:rPr>
                <w:color w:val="000000"/>
                <w:kern w:val="2"/>
              </w:rPr>
              <w:t>clause</w:t>
            </w:r>
            <w:r w:rsidRPr="00B4696E">
              <w:rPr>
                <w:color w:val="000000"/>
                <w:kern w:val="2"/>
              </w:rPr>
              <w:t xml:space="preserve"> 5.3 in which case the UE may skip decoding of the scheduled PDSCH with C-RNTI</w:t>
            </w:r>
            <w:r>
              <w:rPr>
                <w:color w:val="000000"/>
                <w:kern w:val="2"/>
              </w:rPr>
              <w:t>, MCS-C-RNTI,</w:t>
            </w:r>
            <w:r w:rsidRPr="00B4696E">
              <w:rPr>
                <w:color w:val="000000"/>
                <w:kern w:val="2"/>
              </w:rPr>
              <w:t xml:space="preserve"> or CS-RNTI</w:t>
            </w:r>
            <w:r w:rsidRPr="00146651">
              <w:rPr>
                <w:color w:val="000000"/>
                <w:kern w:val="2"/>
              </w:rPr>
              <w:t xml:space="preserve">. </w:t>
            </w:r>
          </w:p>
          <w:p w14:paraId="6D159E56" w14:textId="0FDAF99F" w:rsidR="005D369E" w:rsidRPr="005D369E" w:rsidRDefault="005D369E" w:rsidP="00015410">
            <w:pPr>
              <w:rPr>
                <w:color w:val="000000"/>
                <w:kern w:val="2"/>
              </w:rPr>
            </w:pPr>
            <w:r w:rsidRPr="00146651">
              <w:rPr>
                <w:color w:val="000000"/>
                <w:kern w:val="2"/>
              </w:rPr>
              <w:t>The UE is expected to decode a PDSCH scheduled with C-RNTI</w:t>
            </w:r>
            <w:r>
              <w:rPr>
                <w:color w:val="000000"/>
                <w:kern w:val="2"/>
              </w:rPr>
              <w:t>, MCS-C-RNTI,</w:t>
            </w:r>
            <w:r w:rsidRPr="00146651">
              <w:rPr>
                <w:color w:val="000000"/>
                <w:kern w:val="2"/>
              </w:rPr>
              <w:t xml:space="preserve"> or CS-RNTI during a process of autonomous SI acquisition.</w:t>
            </w:r>
            <w:r w:rsidRPr="00B81E84">
              <w:rPr>
                <w:color w:val="000000"/>
                <w:kern w:val="2"/>
              </w:rPr>
              <w:t xml:space="preserve"> </w:t>
            </w:r>
          </w:p>
        </w:tc>
      </w:tr>
    </w:tbl>
    <w:p w14:paraId="02F88732" w14:textId="2616AC83" w:rsidR="00802B3F" w:rsidRDefault="00802B3F" w:rsidP="00015410">
      <w:pPr>
        <w:rPr>
          <w:rFonts w:eastAsia="Times New Roman"/>
          <w:lang w:val="en-GB"/>
        </w:rPr>
      </w:pPr>
    </w:p>
    <w:p w14:paraId="6515FD41" w14:textId="495E3A77" w:rsidR="00166192" w:rsidRDefault="002B73EE" w:rsidP="007A37C5">
      <w:pPr>
        <w:rPr>
          <w:lang w:eastAsia="zh-CN"/>
        </w:rPr>
      </w:pPr>
      <w:r>
        <w:rPr>
          <w:rFonts w:eastAsia="Times New Roman"/>
          <w:lang w:val="en-GB"/>
        </w:rPr>
        <w:t xml:space="preserve">Figure 1 illustrate one example that the two </w:t>
      </w:r>
      <w:r>
        <w:rPr>
          <w:rFonts w:eastAsia="Times New Roman"/>
        </w:rPr>
        <w:t>broadcast PDSCHs or one broadcast PDSCH plus one unicast PDSCH which are multiplexed in a FDM manner in a slot</w:t>
      </w:r>
      <w:r>
        <w:rPr>
          <w:rFonts w:eastAsia="Times New Roman"/>
          <w:lang w:val="en-GB"/>
        </w:rPr>
        <w:t xml:space="preserve"> may span more than 5MHz,</w:t>
      </w:r>
      <w:r w:rsidRPr="002B73EE">
        <w:rPr>
          <w:lang w:eastAsia="zh-CN"/>
        </w:rPr>
        <w:t xml:space="preserve"> though each </w:t>
      </w:r>
      <w:r w:rsidRPr="002B73EE">
        <w:rPr>
          <w:rFonts w:hint="eastAsia"/>
          <w:lang w:eastAsia="zh-CN"/>
        </w:rPr>
        <w:t>PDSCH</w:t>
      </w:r>
      <w:r w:rsidRPr="002B73EE">
        <w:rPr>
          <w:lang w:eastAsia="zh-CN"/>
        </w:rPr>
        <w:t xml:space="preserve"> is still within 5MHz</w:t>
      </w:r>
      <w:r>
        <w:rPr>
          <w:rFonts w:eastAsia="Times New Roman"/>
          <w:lang w:val="en-GB"/>
        </w:rPr>
        <w:t>. Consequently, due to BB BW reduction, a</w:t>
      </w:r>
      <w:r w:rsidR="007A37C5">
        <w:rPr>
          <w:rFonts w:eastAsia="Times New Roman"/>
          <w:lang w:val="en-GB"/>
        </w:rPr>
        <w:t xml:space="preserve">n eRedCap UE </w:t>
      </w:r>
      <w:r>
        <w:rPr>
          <w:rFonts w:eastAsia="Times New Roman"/>
          <w:lang w:val="en-GB"/>
        </w:rPr>
        <w:t>cannot</w:t>
      </w:r>
      <w:r w:rsidR="007A37C5">
        <w:rPr>
          <w:rFonts w:eastAsia="Times New Roman"/>
          <w:lang w:val="en-GB"/>
        </w:rPr>
        <w:t xml:space="preserve"> support reception of </w:t>
      </w:r>
      <w:r>
        <w:rPr>
          <w:rFonts w:eastAsia="Times New Roman"/>
          <w:lang w:val="en-GB"/>
        </w:rPr>
        <w:t xml:space="preserve">the </w:t>
      </w:r>
      <w:r w:rsidRPr="002B73EE">
        <w:rPr>
          <w:lang w:eastAsia="zh-CN"/>
        </w:rPr>
        <w:t>two</w:t>
      </w:r>
      <w:r w:rsidR="007A37C5" w:rsidRPr="002B73EE">
        <w:rPr>
          <w:lang w:eastAsia="zh-CN"/>
        </w:rPr>
        <w:t xml:space="preserve"> PDSCHs. </w:t>
      </w:r>
      <w:r w:rsidR="00166192">
        <w:rPr>
          <w:lang w:eastAsia="zh-CN"/>
        </w:rPr>
        <w:t xml:space="preserve">The trade-off between complexity reduction and scheduling restriction should be further discussed. </w:t>
      </w:r>
    </w:p>
    <w:p w14:paraId="5692CE3A" w14:textId="3EF5B78E" w:rsidR="002B73EE" w:rsidRDefault="002B73EE" w:rsidP="002B73EE">
      <w:pPr>
        <w:spacing w:after="0"/>
        <w:jc w:val="center"/>
      </w:pPr>
      <w:r>
        <w:object w:dxaOrig="4836" w:dyaOrig="3036" w14:anchorId="423C29EE">
          <v:shape id="_x0000_i1026" type="#_x0000_t75" style="width:242.2pt;height:151.9pt" o:ole="">
            <v:imagedata r:id="rId13" o:title=""/>
          </v:shape>
          <o:OLEObject Type="Embed" ProgID="Visio.Drawing.15" ShapeID="_x0000_i1026" DrawAspect="Content" ObjectID="_1728987246" r:id="rId14"/>
        </w:object>
      </w:r>
    </w:p>
    <w:p w14:paraId="738F91A2" w14:textId="66405A89" w:rsidR="002B73EE" w:rsidRDefault="002B73EE" w:rsidP="002B73EE">
      <w:pPr>
        <w:spacing w:after="0"/>
        <w:jc w:val="center"/>
      </w:pPr>
      <w:r>
        <w:t>Figure 1: two PDSCHs FDMed in a slot</w:t>
      </w:r>
    </w:p>
    <w:p w14:paraId="3424AA4A" w14:textId="77777777" w:rsidR="002B73EE" w:rsidRDefault="002B73EE" w:rsidP="003A4EB9">
      <w:pPr>
        <w:spacing w:after="0"/>
      </w:pPr>
    </w:p>
    <w:p w14:paraId="37324D5B" w14:textId="6A7741B2" w:rsidR="007A37C5" w:rsidRDefault="00C8183C" w:rsidP="00C8183C">
      <w:r w:rsidRPr="009E218B">
        <w:rPr>
          <w:b/>
          <w:bCs/>
        </w:rPr>
        <w:t xml:space="preserve">Proposal </w:t>
      </w:r>
      <w:r w:rsidR="0095705A">
        <w:rPr>
          <w:b/>
          <w:bCs/>
        </w:rPr>
        <w:t>9</w:t>
      </w:r>
      <w:r w:rsidRPr="00C8183C">
        <w:t xml:space="preserve"> </w:t>
      </w:r>
    </w:p>
    <w:p w14:paraId="0A8257EE" w14:textId="7BCDF4B5" w:rsidR="00166192" w:rsidRDefault="0079100D" w:rsidP="0079100D">
      <w:pPr>
        <w:pStyle w:val="ListParagraph"/>
        <w:numPr>
          <w:ilvl w:val="0"/>
          <w:numId w:val="29"/>
        </w:numPr>
      </w:pPr>
      <w:r w:rsidRPr="0079100D">
        <w:rPr>
          <w:rFonts w:eastAsia="Times New Roman"/>
          <w:lang w:val="en-GB"/>
        </w:rPr>
        <w:t xml:space="preserve">An eRedCap UE cannot support reception of two </w:t>
      </w:r>
      <w:r w:rsidRPr="0079100D">
        <w:rPr>
          <w:rFonts w:eastAsia="Times New Roman"/>
        </w:rPr>
        <w:t>broadcast PDSCHs or one broadcast PDSCH plus one unicast PDSCH which are multiplexed in a FDM manner in a slot if the two PDSCHs span more than 5MHz</w:t>
      </w:r>
      <w:r w:rsidRPr="0079100D">
        <w:rPr>
          <w:rFonts w:eastAsia="Times New Roman"/>
          <w:lang w:val="en-GB"/>
        </w:rPr>
        <w:t xml:space="preserve"> </w:t>
      </w:r>
    </w:p>
    <w:p w14:paraId="6A7F08CD" w14:textId="185339DF" w:rsidR="00881815" w:rsidRPr="00C56AAB" w:rsidRDefault="00881815" w:rsidP="006028C8">
      <w:pPr>
        <w:pStyle w:val="Heading1"/>
        <w:keepLines/>
        <w:numPr>
          <w:ilvl w:val="0"/>
          <w:numId w:val="1"/>
        </w:numPr>
        <w:pBdr>
          <w:top w:val="single" w:sz="12" w:space="4" w:color="auto"/>
        </w:pBdr>
        <w:overflowPunct w:val="0"/>
        <w:snapToGrid/>
        <w:spacing w:before="240"/>
        <w:ind w:left="431" w:hanging="431"/>
        <w:textAlignment w:val="baseline"/>
        <w:rPr>
          <w:rFonts w:ascii="Arial" w:hAnsi="Arial"/>
          <w:b w:val="0"/>
          <w:bCs w:val="0"/>
          <w:sz w:val="36"/>
          <w:szCs w:val="20"/>
        </w:rPr>
      </w:pPr>
      <w:r w:rsidRPr="00C56AAB">
        <w:rPr>
          <w:rFonts w:ascii="Arial" w:hAnsi="Arial"/>
          <w:b w:val="0"/>
          <w:bCs w:val="0"/>
          <w:sz w:val="36"/>
          <w:szCs w:val="20"/>
        </w:rPr>
        <w:t>Conclusions</w:t>
      </w:r>
    </w:p>
    <w:p w14:paraId="46600811" w14:textId="11C9B201" w:rsidR="00B31CF6" w:rsidRDefault="00DD70AC" w:rsidP="00D166BA">
      <w:pPr>
        <w:pStyle w:val="3GPPNormalText"/>
        <w:rPr>
          <w:sz w:val="22"/>
          <w:szCs w:val="28"/>
        </w:rPr>
      </w:pPr>
      <w:r w:rsidRPr="00C11214">
        <w:rPr>
          <w:sz w:val="22"/>
          <w:szCs w:val="28"/>
        </w:rPr>
        <w:t xml:space="preserve">In this contribution, we </w:t>
      </w:r>
      <w:r w:rsidR="009356FC" w:rsidRPr="009356FC">
        <w:rPr>
          <w:sz w:val="22"/>
          <w:szCs w:val="28"/>
        </w:rPr>
        <w:t>present</w:t>
      </w:r>
      <w:r w:rsidR="009356FC">
        <w:rPr>
          <w:sz w:val="22"/>
          <w:szCs w:val="28"/>
        </w:rPr>
        <w:t>ed</w:t>
      </w:r>
      <w:r w:rsidR="009356FC" w:rsidRPr="009356FC">
        <w:rPr>
          <w:sz w:val="22"/>
          <w:szCs w:val="28"/>
        </w:rPr>
        <w:t xml:space="preserve"> our views on </w:t>
      </w:r>
      <w:r w:rsidR="005D369E">
        <w:rPr>
          <w:sz w:val="22"/>
          <w:szCs w:val="28"/>
        </w:rPr>
        <w:t>the design details for the complexity reduction for eRedCap UE. We made the following observations and proposals</w:t>
      </w:r>
    </w:p>
    <w:p w14:paraId="3E869308" w14:textId="77777777" w:rsidR="00E038BC" w:rsidRDefault="00E038BC" w:rsidP="0050322E">
      <w:pPr>
        <w:pStyle w:val="3GPPNormalText"/>
        <w:rPr>
          <w:sz w:val="22"/>
          <w:szCs w:val="28"/>
        </w:rPr>
      </w:pPr>
    </w:p>
    <w:p w14:paraId="7A2FDF92" w14:textId="77777777" w:rsidR="0025776E" w:rsidRPr="004D44F0" w:rsidRDefault="0025776E" w:rsidP="0025776E">
      <w:r w:rsidRPr="004D44F0">
        <w:rPr>
          <w:b/>
          <w:bCs/>
        </w:rPr>
        <w:t>Proposal 1:</w:t>
      </w:r>
      <w:r w:rsidRPr="004D44F0">
        <w:t xml:space="preserve"> </w:t>
      </w:r>
    </w:p>
    <w:p w14:paraId="19A0D4F5" w14:textId="77777777" w:rsidR="0025776E" w:rsidRPr="0076269B" w:rsidRDefault="0025776E" w:rsidP="0025776E">
      <w:pPr>
        <w:pStyle w:val="ListParagraph"/>
        <w:numPr>
          <w:ilvl w:val="0"/>
          <w:numId w:val="4"/>
        </w:numPr>
      </w:pPr>
      <w:r w:rsidRPr="004D44F0">
        <w:rPr>
          <w:rFonts w:eastAsia="Times New Roman"/>
        </w:rPr>
        <w:lastRenderedPageBreak/>
        <w:t>Agree on Option 4 to define the maximum number of PRBs for PUSCH</w:t>
      </w:r>
      <w:r w:rsidRPr="004D44F0">
        <w:t xml:space="preserve"> per slot or per hop, if applicable</w:t>
      </w:r>
      <w:r w:rsidRPr="004D44F0">
        <w:rPr>
          <w:rFonts w:eastAsia="Times New Roman"/>
        </w:rPr>
        <w:t xml:space="preserve"> and unicast/broadcast PDSCH per slot. </w:t>
      </w:r>
    </w:p>
    <w:p w14:paraId="4A168AA7" w14:textId="77777777" w:rsidR="0025776E" w:rsidRPr="004D44F0" w:rsidRDefault="0025776E" w:rsidP="0025776E">
      <w:pPr>
        <w:pStyle w:val="ListParagraph"/>
        <w:numPr>
          <w:ilvl w:val="1"/>
          <w:numId w:val="4"/>
        </w:numPr>
      </w:pPr>
      <w:r w:rsidRPr="004D44F0">
        <w:t>Option 4: 25 PRBs for 15 kHz SCS and 11 PRBs for 30 kHz SCS</w:t>
      </w:r>
    </w:p>
    <w:p w14:paraId="5FF8D2C3" w14:textId="77777777" w:rsidR="0025776E" w:rsidRPr="00CA5CB1" w:rsidRDefault="0025776E" w:rsidP="0025776E">
      <w:r w:rsidRPr="00CA5CB1">
        <w:rPr>
          <w:b/>
          <w:bCs/>
        </w:rPr>
        <w:t xml:space="preserve">Proposal </w:t>
      </w:r>
      <w:r>
        <w:rPr>
          <w:b/>
          <w:bCs/>
        </w:rPr>
        <w:t>2</w:t>
      </w:r>
      <w:r w:rsidRPr="00CA5CB1">
        <w:rPr>
          <w:b/>
          <w:bCs/>
        </w:rPr>
        <w:t>:</w:t>
      </w:r>
      <w:r w:rsidRPr="00CA5CB1">
        <w:t xml:space="preserve"> </w:t>
      </w:r>
    </w:p>
    <w:p w14:paraId="67BA6C1D" w14:textId="77777777" w:rsidR="0025776E" w:rsidRPr="00CA5CB1" w:rsidRDefault="0025776E" w:rsidP="0025776E">
      <w:pPr>
        <w:pStyle w:val="ListParagraph"/>
        <w:numPr>
          <w:ilvl w:val="0"/>
          <w:numId w:val="4"/>
        </w:numPr>
      </w:pPr>
      <w:r w:rsidRPr="00CA5CB1">
        <w:t xml:space="preserve">To calculate the peak data rate for a UE, </w:t>
      </w:r>
      <m:oMath>
        <m:sSubSup>
          <m:sSubSupPr>
            <m:ctrlPr>
              <w:rPr>
                <w:rFonts w:ascii="Cambria Math" w:hAnsi="Cambria Math"/>
                <w:i/>
              </w:rPr>
            </m:ctrlPr>
          </m:sSubSupPr>
          <m:e>
            <m:r>
              <w:rPr>
                <w:rFonts w:ascii="Cambria Math"/>
              </w:rPr>
              <m:t>N</m:t>
            </m:r>
          </m:e>
          <m:sub>
            <m:r>
              <w:rPr>
                <w:rFonts w:ascii="Cambria Math"/>
              </w:rPr>
              <m:t>PRB</m:t>
            </m:r>
          </m:sub>
          <m:sup>
            <m:r>
              <w:rPr>
                <w:rFonts w:ascii="Cambria Math"/>
              </w:rPr>
              <m:t>BW</m:t>
            </m:r>
            <m:d>
              <m:dPr>
                <m:ctrlPr>
                  <w:rPr>
                    <w:rFonts w:ascii="Cambria Math" w:hAnsi="Cambria Math"/>
                    <w:i/>
                  </w:rPr>
                </m:ctrlPr>
              </m:dPr>
              <m:e>
                <m:r>
                  <w:rPr>
                    <w:rFonts w:ascii="Cambria Math"/>
                  </w:rPr>
                  <m:t>j</m:t>
                </m:r>
              </m:e>
            </m:d>
            <m:r>
              <w:rPr>
                <w:rFonts w:ascii="Cambria Math"/>
              </w:rPr>
              <m:t>,μ</m:t>
            </m:r>
          </m:sup>
        </m:sSubSup>
        <m:r>
          <w:rPr>
            <w:rFonts w:ascii="Cambria Math"/>
          </w:rPr>
          <m:t>=25 or 11</m:t>
        </m:r>
      </m:oMath>
      <w:r w:rsidRPr="00CA5CB1">
        <w:t xml:space="preserve"> is used for SCS 15 or 30kHz respectively. </w:t>
      </w:r>
    </w:p>
    <w:p w14:paraId="75D2763D" w14:textId="77777777" w:rsidR="0025776E" w:rsidRPr="00CA5CB1" w:rsidRDefault="0025776E" w:rsidP="0025776E">
      <w:pPr>
        <w:pStyle w:val="ListParagraph"/>
        <w:numPr>
          <w:ilvl w:val="0"/>
          <w:numId w:val="4"/>
        </w:numPr>
      </w:pPr>
      <w:r w:rsidRPr="00CA5CB1">
        <w:t xml:space="preserve">The product of </w:t>
      </w:r>
      <m:oMath>
        <m:sSubSup>
          <m:sSubSupPr>
            <m:ctrlPr>
              <w:rPr>
                <w:rFonts w:ascii="Cambria Math" w:hAnsi="Cambria Math"/>
                <w:i/>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Q</m:t>
            </m:r>
          </m:e>
          <m:sub>
            <m:r>
              <w:rPr>
                <w:rFonts w:ascii="Cambria Math"/>
              </w:rPr>
              <m:t>m</m:t>
            </m:r>
          </m:sub>
          <m:sup>
            <m:r>
              <w:rPr>
                <w:rFonts w:ascii="Cambria Math"/>
              </w:rPr>
              <m:t>(j)</m:t>
            </m:r>
          </m:sup>
        </m:sSubSup>
        <m:r>
          <w:rPr>
            <w:rFonts w:ascii="Cambria Math" w:hAnsi="Cambria Math" w:cs="Cambria Math"/>
          </w:rPr>
          <m:t>,</m:t>
        </m:r>
        <m:sSubSup>
          <m:sSubSupPr>
            <m:ctrlPr>
              <w:rPr>
                <w:rFonts w:ascii="Cambria Math" w:hAnsi="Cambria Math"/>
                <w:i/>
              </w:rPr>
            </m:ctrlPr>
          </m:sSubSupPr>
          <m:e>
            <m:r>
              <w:rPr>
                <w:rFonts w:ascii="Cambria Math"/>
              </w:rPr>
              <m:t>f</m:t>
            </m:r>
          </m:e>
          <m:sub/>
          <m:sup>
            <m:r>
              <w:rPr>
                <w:rFonts w:ascii="Cambria Math"/>
              </w:rPr>
              <m:t>(j)</m:t>
            </m:r>
          </m:sup>
        </m:sSubSup>
      </m:oMath>
      <w:r w:rsidRPr="00CA5CB1">
        <w:t xml:space="preserve"> can be relaxed to 3. </w:t>
      </w:r>
    </w:p>
    <w:p w14:paraId="260EFCF8" w14:textId="77777777" w:rsidR="0025776E" w:rsidRPr="00927D8E" w:rsidRDefault="0025776E" w:rsidP="0025776E">
      <w:pPr>
        <w:pStyle w:val="ListParagraph"/>
        <w:numPr>
          <w:ilvl w:val="0"/>
          <w:numId w:val="4"/>
        </w:numPr>
        <w:autoSpaceDE/>
        <w:autoSpaceDN/>
        <w:adjustRightInd/>
        <w:snapToGrid/>
        <w:spacing w:after="180"/>
      </w:pPr>
      <w:r w:rsidRPr="00CA5CB1">
        <w:rPr>
          <w:iCs/>
          <w:lang w:eastAsia="zh-CN"/>
        </w:rPr>
        <w:t xml:space="preserve">Relaxing </w:t>
      </w:r>
      <w:r w:rsidRPr="00927D8E">
        <w:rPr>
          <w:iCs/>
          <w:lang w:eastAsia="zh-CN"/>
        </w:rPr>
        <w:t xml:space="preserve">the product to 1 as a standalone solution is no further considered in RAN1. </w:t>
      </w:r>
    </w:p>
    <w:p w14:paraId="16170B1E" w14:textId="77777777" w:rsidR="0025776E" w:rsidRPr="00927D8E" w:rsidDel="00F54294" w:rsidRDefault="0025776E" w:rsidP="0025776E">
      <w:r w:rsidRPr="00927D8E" w:rsidDel="00F54294">
        <w:rPr>
          <w:b/>
          <w:bCs/>
        </w:rPr>
        <w:t>Observation 1</w:t>
      </w:r>
      <w:r w:rsidRPr="00927D8E" w:rsidDel="00F54294">
        <w:t xml:space="preserve"> </w:t>
      </w:r>
    </w:p>
    <w:p w14:paraId="0D122FBB" w14:textId="77777777" w:rsidR="0025776E" w:rsidRPr="00927D8E" w:rsidDel="00F54294" w:rsidRDefault="0025776E" w:rsidP="0025776E">
      <w:pPr>
        <w:pStyle w:val="ListParagraph"/>
        <w:numPr>
          <w:ilvl w:val="0"/>
          <w:numId w:val="4"/>
        </w:numPr>
      </w:pPr>
      <w:r w:rsidRPr="00927D8E" w:rsidDel="00F54294">
        <w:t>For the option to post-FFT data buffer broadcast PDSCH using relaxed processing timeline, the required buffer amount will be larger than 20MHz in one slot</w:t>
      </w:r>
    </w:p>
    <w:p w14:paraId="0DBDCFE6" w14:textId="77777777" w:rsidR="0025776E" w:rsidRPr="00927D8E" w:rsidDel="00F54294" w:rsidRDefault="0025776E" w:rsidP="0025776E">
      <w:pPr>
        <w:pStyle w:val="ListParagraph"/>
        <w:numPr>
          <w:ilvl w:val="0"/>
          <w:numId w:val="4"/>
        </w:numPr>
      </w:pPr>
      <w:r w:rsidRPr="00927D8E" w:rsidDel="00F54294">
        <w:t xml:space="preserve">For the option to use less than 20MHz post-FFT data buffer without processing time relaxation, the buffer is exactly less than 20MHz in one slot. </w:t>
      </w:r>
    </w:p>
    <w:p w14:paraId="45DD53CD" w14:textId="77777777" w:rsidR="0025776E" w:rsidRDefault="0025776E" w:rsidP="0025776E">
      <w:r>
        <w:rPr>
          <w:b/>
          <w:bCs/>
        </w:rPr>
        <w:t>Proposal 3</w:t>
      </w:r>
    </w:p>
    <w:p w14:paraId="56E4CC3B" w14:textId="77777777" w:rsidR="0025776E" w:rsidRPr="00927D8E" w:rsidRDefault="0025776E" w:rsidP="0025776E">
      <w:pPr>
        <w:pStyle w:val="ListParagraph"/>
        <w:numPr>
          <w:ilvl w:val="0"/>
          <w:numId w:val="4"/>
        </w:numPr>
      </w:pPr>
      <w:r>
        <w:t xml:space="preserve">RAN1 assumes the eRedCap UE may have a post-FFT data buffer of less than 20MHz in one slot without </w:t>
      </w:r>
      <w:r w:rsidRPr="00927D8E" w:rsidDel="00F54294">
        <w:t>processing time relaxation</w:t>
      </w:r>
      <w:r>
        <w:t xml:space="preserve">. </w:t>
      </w:r>
    </w:p>
    <w:p w14:paraId="62EEECB1" w14:textId="77777777" w:rsidR="0025776E" w:rsidRPr="0025776E" w:rsidRDefault="0025776E" w:rsidP="0025776E">
      <w:r w:rsidRPr="0025776E">
        <w:rPr>
          <w:b/>
          <w:bCs/>
        </w:rPr>
        <w:t>Proposal 4:</w:t>
      </w:r>
      <w:r w:rsidRPr="0025776E">
        <w:t xml:space="preserve"> </w:t>
      </w:r>
    </w:p>
    <w:p w14:paraId="02FB32B3" w14:textId="77777777" w:rsidR="0025776E" w:rsidRPr="00927D8E" w:rsidRDefault="0025776E" w:rsidP="0025776E">
      <w:pPr>
        <w:pStyle w:val="ListParagraph"/>
        <w:numPr>
          <w:ilvl w:val="0"/>
          <w:numId w:val="4"/>
        </w:numPr>
        <w:rPr>
          <w:sz w:val="20"/>
          <w:szCs w:val="20"/>
        </w:rPr>
      </w:pPr>
      <w:r w:rsidRPr="00927D8E">
        <w:t>Support the reduction of post-FFT data buffer to 5MHz in a slot</w:t>
      </w:r>
      <w:r>
        <w:t xml:space="preserve"> for both unicast and broadcast PDSCH</w:t>
      </w:r>
    </w:p>
    <w:p w14:paraId="79D49BD2" w14:textId="77777777" w:rsidR="0025776E" w:rsidRPr="00927D8E" w:rsidRDefault="0025776E" w:rsidP="0025776E">
      <w:pPr>
        <w:pStyle w:val="ListParagraph"/>
        <w:numPr>
          <w:ilvl w:val="1"/>
          <w:numId w:val="4"/>
        </w:numPr>
        <w:rPr>
          <w:sz w:val="20"/>
          <w:szCs w:val="20"/>
        </w:rPr>
      </w:pPr>
      <w:r w:rsidRPr="00927D8E">
        <w:t xml:space="preserve">Alt 1: the location of the 5MHz frequency region for PDSCH transmission can be </w:t>
      </w:r>
      <w:r>
        <w:t xml:space="preserve">pre-defined or </w:t>
      </w:r>
      <w:r w:rsidRPr="00927D8E">
        <w:t>configured by high layer signaling</w:t>
      </w:r>
    </w:p>
    <w:p w14:paraId="6C6ABA3B" w14:textId="77777777" w:rsidR="0025776E" w:rsidRPr="00927D8E" w:rsidRDefault="0025776E" w:rsidP="0025776E">
      <w:pPr>
        <w:pStyle w:val="ListParagraph"/>
        <w:numPr>
          <w:ilvl w:val="1"/>
          <w:numId w:val="4"/>
        </w:numPr>
        <w:rPr>
          <w:sz w:val="20"/>
          <w:szCs w:val="20"/>
        </w:rPr>
      </w:pPr>
      <w:r w:rsidRPr="00927D8E">
        <w:t xml:space="preserve">Alt 2: cross-slot scheduling is </w:t>
      </w:r>
      <w:r>
        <w:t>applied</w:t>
      </w:r>
      <w:r w:rsidRPr="00927D8E">
        <w:t xml:space="preserve"> to both unicast and broadcast PDSCH. </w:t>
      </w:r>
    </w:p>
    <w:p w14:paraId="6D4D8BC5" w14:textId="77777777" w:rsidR="0025776E" w:rsidRDefault="0025776E" w:rsidP="0025776E">
      <w:r w:rsidRPr="002A4772">
        <w:rPr>
          <w:b/>
          <w:bCs/>
        </w:rPr>
        <w:t xml:space="preserve">Proposal </w:t>
      </w:r>
      <w:r>
        <w:rPr>
          <w:b/>
          <w:bCs/>
        </w:rPr>
        <w:t>5</w:t>
      </w:r>
      <w:r w:rsidRPr="002A4772">
        <w:rPr>
          <w:b/>
          <w:bCs/>
        </w:rPr>
        <w:t>:</w:t>
      </w:r>
      <w:r w:rsidRPr="005B2C39">
        <w:t xml:space="preserve"> </w:t>
      </w:r>
    </w:p>
    <w:p w14:paraId="52F7F82E" w14:textId="77777777" w:rsidR="0025776E" w:rsidRDefault="0025776E" w:rsidP="0025776E">
      <w:pPr>
        <w:pStyle w:val="ListParagraph"/>
        <w:numPr>
          <w:ilvl w:val="0"/>
          <w:numId w:val="27"/>
        </w:numPr>
        <w:rPr>
          <w:rFonts w:eastAsia="Times New Roman"/>
        </w:rPr>
      </w:pPr>
      <w:r>
        <w:rPr>
          <w:rFonts w:eastAsia="Times New Roman"/>
        </w:rPr>
        <w:t>The broadcast PDSCH can be repeatedly transmitted with different number of allocated PRBs in multiple slots</w:t>
      </w:r>
      <w:r w:rsidRPr="00927D8E">
        <w:rPr>
          <w:rFonts w:eastAsia="Times New Roman"/>
        </w:rPr>
        <w:t xml:space="preserve"> </w:t>
      </w:r>
      <w:r>
        <w:rPr>
          <w:rFonts w:eastAsia="Times New Roman"/>
        </w:rPr>
        <w:t xml:space="preserve">to compensate the coverage loss </w:t>
      </w:r>
    </w:p>
    <w:p w14:paraId="0DF8E10B" w14:textId="77777777" w:rsidR="0025776E" w:rsidRDefault="0025776E" w:rsidP="0025776E">
      <w:pPr>
        <w:pStyle w:val="ListParagraph"/>
        <w:numPr>
          <w:ilvl w:val="1"/>
          <w:numId w:val="27"/>
        </w:numPr>
        <w:rPr>
          <w:rFonts w:eastAsia="Times New Roman"/>
        </w:rPr>
      </w:pPr>
      <w:r>
        <w:rPr>
          <w:rFonts w:eastAsia="Times New Roman"/>
        </w:rPr>
        <w:t xml:space="preserve">FFS details on scheduling some of the broadcast PDSCH in slot(s) for eRedCap UE. </w:t>
      </w:r>
    </w:p>
    <w:p w14:paraId="296356CC" w14:textId="77777777" w:rsidR="0025776E" w:rsidRDefault="0025776E" w:rsidP="0025776E">
      <w:r w:rsidRPr="002A4772">
        <w:rPr>
          <w:b/>
          <w:bCs/>
        </w:rPr>
        <w:t xml:space="preserve">Proposal </w:t>
      </w:r>
      <w:r>
        <w:rPr>
          <w:b/>
          <w:bCs/>
        </w:rPr>
        <w:t>6</w:t>
      </w:r>
      <w:r w:rsidRPr="002A4772">
        <w:rPr>
          <w:b/>
          <w:bCs/>
        </w:rPr>
        <w:t>:</w:t>
      </w:r>
      <w:r w:rsidRPr="005B2C39">
        <w:t xml:space="preserve"> </w:t>
      </w:r>
    </w:p>
    <w:p w14:paraId="6305A214" w14:textId="77777777" w:rsidR="0025776E" w:rsidRDefault="0025776E" w:rsidP="0025776E">
      <w:pPr>
        <w:pStyle w:val="ListParagraph"/>
        <w:numPr>
          <w:ilvl w:val="0"/>
          <w:numId w:val="27"/>
        </w:numPr>
        <w:rPr>
          <w:rFonts w:eastAsia="Times New Roman"/>
        </w:rPr>
      </w:pPr>
      <w:r>
        <w:rPr>
          <w:rFonts w:eastAsia="Times New Roman"/>
        </w:rPr>
        <w:t xml:space="preserve">It could be up to gNB implementation to schedule paging PDSCH in 5MHz or more than 5MHz for eRedCap UE </w:t>
      </w:r>
    </w:p>
    <w:p w14:paraId="0E54BA6A" w14:textId="77777777" w:rsidR="0025776E" w:rsidRDefault="0025776E" w:rsidP="0025776E">
      <w:r w:rsidRPr="002A4772">
        <w:rPr>
          <w:b/>
          <w:bCs/>
        </w:rPr>
        <w:t xml:space="preserve">Proposal </w:t>
      </w:r>
      <w:r>
        <w:rPr>
          <w:b/>
          <w:bCs/>
        </w:rPr>
        <w:t>7</w:t>
      </w:r>
      <w:r w:rsidRPr="002A4772">
        <w:rPr>
          <w:b/>
          <w:bCs/>
        </w:rPr>
        <w:t>:</w:t>
      </w:r>
      <w:r w:rsidRPr="005B2C39">
        <w:t xml:space="preserve"> </w:t>
      </w:r>
    </w:p>
    <w:p w14:paraId="638026DC" w14:textId="77777777" w:rsidR="0025776E" w:rsidRDefault="0025776E" w:rsidP="0025776E">
      <w:pPr>
        <w:pStyle w:val="ListParagraph"/>
        <w:numPr>
          <w:ilvl w:val="0"/>
          <w:numId w:val="27"/>
        </w:numPr>
        <w:rPr>
          <w:rFonts w:eastAsia="Times New Roman"/>
        </w:rPr>
      </w:pPr>
      <w:r>
        <w:rPr>
          <w:rFonts w:eastAsia="Times New Roman"/>
        </w:rPr>
        <w:t xml:space="preserve">FDRA field for eRedCap UE should exploit the constraint of 5MHz BB bandwidth. </w:t>
      </w:r>
    </w:p>
    <w:p w14:paraId="465FB087" w14:textId="77777777" w:rsidR="0025776E" w:rsidRDefault="0025776E" w:rsidP="0025776E">
      <w:pPr>
        <w:pStyle w:val="ListParagraph"/>
        <w:numPr>
          <w:ilvl w:val="0"/>
          <w:numId w:val="27"/>
        </w:numPr>
        <w:rPr>
          <w:rFonts w:eastAsia="Times New Roman"/>
        </w:rPr>
      </w:pPr>
      <w:r>
        <w:rPr>
          <w:rFonts w:eastAsia="Times New Roman"/>
        </w:rPr>
        <w:t>Two options indicating the 5MHz frequency region for eRedCap UE can be considered</w:t>
      </w:r>
    </w:p>
    <w:p w14:paraId="6003F898" w14:textId="77777777" w:rsidR="0025776E" w:rsidRPr="00363666" w:rsidRDefault="0025776E" w:rsidP="0025776E">
      <w:pPr>
        <w:pStyle w:val="ListParagraph"/>
        <w:numPr>
          <w:ilvl w:val="1"/>
          <w:numId w:val="27"/>
        </w:numPr>
        <w:rPr>
          <w:rFonts w:eastAsia="Times New Roman"/>
        </w:rPr>
      </w:pPr>
      <w:r w:rsidRPr="00363666">
        <w:rPr>
          <w:rFonts w:eastAsia="Times New Roman"/>
        </w:rPr>
        <w:t xml:space="preserve">Option 1: the 5MHz frequency region can be semi-statically configured. </w:t>
      </w:r>
    </w:p>
    <w:p w14:paraId="1364B8FC" w14:textId="77777777" w:rsidR="0025776E" w:rsidRPr="00363666" w:rsidRDefault="0025776E" w:rsidP="0025776E">
      <w:pPr>
        <w:pStyle w:val="ListParagraph"/>
        <w:numPr>
          <w:ilvl w:val="1"/>
          <w:numId w:val="27"/>
        </w:numPr>
        <w:rPr>
          <w:rFonts w:eastAsia="Times New Roman"/>
        </w:rPr>
      </w:pPr>
      <w:r w:rsidRPr="00363666">
        <w:rPr>
          <w:rFonts w:eastAsia="Times New Roman"/>
        </w:rPr>
        <w:t xml:space="preserve">Option 2: the 5MHz frequency region can be dynamically indicated together with the FDRA within the 5MHz frequency region. </w:t>
      </w:r>
    </w:p>
    <w:p w14:paraId="0DFA1FBD" w14:textId="77777777" w:rsidR="0025776E" w:rsidRDefault="0025776E" w:rsidP="0025776E">
      <w:pPr>
        <w:rPr>
          <w:b/>
          <w:bCs/>
        </w:rPr>
      </w:pPr>
      <w:r w:rsidRPr="00A90559">
        <w:rPr>
          <w:b/>
          <w:bCs/>
        </w:rPr>
        <w:t xml:space="preserve">Proposal </w:t>
      </w:r>
      <w:r>
        <w:rPr>
          <w:b/>
          <w:bCs/>
        </w:rPr>
        <w:t>8</w:t>
      </w:r>
    </w:p>
    <w:p w14:paraId="4FA05AD1" w14:textId="77777777" w:rsidR="0025776E" w:rsidRPr="00074E7F" w:rsidRDefault="0025776E" w:rsidP="0025776E">
      <w:pPr>
        <w:numPr>
          <w:ilvl w:val="0"/>
          <w:numId w:val="27"/>
        </w:numPr>
        <w:autoSpaceDE/>
        <w:autoSpaceDN/>
        <w:adjustRightInd/>
        <w:snapToGrid/>
        <w:spacing w:after="0"/>
        <w:jc w:val="left"/>
      </w:pPr>
      <w:r w:rsidRPr="00074E7F">
        <w:t xml:space="preserve">For UE BB bandwidth reduction, a UE </w:t>
      </w:r>
      <w:r>
        <w:t>is not</w:t>
      </w:r>
      <w:r w:rsidRPr="00074E7F">
        <w:t xml:space="preserve"> expected to receive an UL grant in a RAR with a Msg3 PUSCH resource allocation spanning a bandwidth of more than ~5 MHz per slot or per hop, if applicable.</w:t>
      </w:r>
    </w:p>
    <w:p w14:paraId="55C8F6DD" w14:textId="77777777" w:rsidR="0025776E" w:rsidRDefault="0025776E" w:rsidP="0025776E">
      <w:pPr>
        <w:pStyle w:val="ListParagraph"/>
        <w:numPr>
          <w:ilvl w:val="0"/>
          <w:numId w:val="27"/>
        </w:numPr>
      </w:pPr>
      <w:r>
        <w:t>E</w:t>
      </w:r>
      <w:r w:rsidRPr="005B2C39">
        <w:t xml:space="preserve">arly identification of </w:t>
      </w:r>
      <w:r>
        <w:t>eRedCap UE by Msg1 is not necessary.</w:t>
      </w:r>
    </w:p>
    <w:p w14:paraId="19B36E8E" w14:textId="77777777" w:rsidR="0025776E" w:rsidRDefault="0025776E" w:rsidP="0025776E">
      <w:pPr>
        <w:pStyle w:val="ListParagraph"/>
        <w:numPr>
          <w:ilvl w:val="0"/>
          <w:numId w:val="27"/>
        </w:numPr>
      </w:pPr>
      <w:r>
        <w:t>E</w:t>
      </w:r>
      <w:r w:rsidRPr="005B2C39">
        <w:t xml:space="preserve">arly identification of </w:t>
      </w:r>
      <w:r>
        <w:t>eRedCap UE by Msg3 can be considered.</w:t>
      </w:r>
    </w:p>
    <w:p w14:paraId="105555F8" w14:textId="77777777" w:rsidR="0025776E" w:rsidRDefault="0025776E" w:rsidP="0025776E">
      <w:r w:rsidRPr="009E218B">
        <w:rPr>
          <w:b/>
          <w:bCs/>
        </w:rPr>
        <w:lastRenderedPageBreak/>
        <w:t xml:space="preserve">Proposal </w:t>
      </w:r>
      <w:r>
        <w:rPr>
          <w:b/>
          <w:bCs/>
        </w:rPr>
        <w:t>9</w:t>
      </w:r>
      <w:r w:rsidRPr="00C8183C">
        <w:t xml:space="preserve"> </w:t>
      </w:r>
    </w:p>
    <w:p w14:paraId="34CFB368" w14:textId="77777777" w:rsidR="0025776E" w:rsidRDefault="0025776E" w:rsidP="0025776E">
      <w:pPr>
        <w:pStyle w:val="ListParagraph"/>
        <w:numPr>
          <w:ilvl w:val="0"/>
          <w:numId w:val="29"/>
        </w:numPr>
      </w:pPr>
      <w:r w:rsidRPr="0079100D">
        <w:rPr>
          <w:rFonts w:eastAsia="Times New Roman"/>
          <w:lang w:val="en-GB"/>
        </w:rPr>
        <w:t xml:space="preserve">An eRedCap UE cannot support reception of two </w:t>
      </w:r>
      <w:r w:rsidRPr="0079100D">
        <w:rPr>
          <w:rFonts w:eastAsia="Times New Roman"/>
        </w:rPr>
        <w:t>broadcast PDSCHs or one broadcast PDSCH plus one unicast PDSCH which are multiplexed in a FDM manner in a slot if the two PDSCHs span more than 5MHz</w:t>
      </w:r>
      <w:r w:rsidRPr="0079100D">
        <w:rPr>
          <w:rFonts w:eastAsia="Times New Roman"/>
          <w:lang w:val="en-GB"/>
        </w:rPr>
        <w:t xml:space="preserve"> </w:t>
      </w:r>
    </w:p>
    <w:p w14:paraId="195F8CAE" w14:textId="77777777" w:rsidR="0050322E" w:rsidRDefault="0050322E" w:rsidP="00D166BA">
      <w:pPr>
        <w:pStyle w:val="3GPPNormalText"/>
        <w:rPr>
          <w:sz w:val="22"/>
          <w:szCs w:val="28"/>
        </w:rPr>
      </w:pPr>
    </w:p>
    <w:p w14:paraId="02E364C0" w14:textId="77777777" w:rsidR="00C05A6E" w:rsidRPr="0077637B" w:rsidRDefault="00C05A6E" w:rsidP="00527A5F">
      <w:pPr>
        <w:rPr>
          <w:b/>
          <w:bCs/>
        </w:rPr>
      </w:pPr>
    </w:p>
    <w:p w14:paraId="4AA1B524" w14:textId="77777777" w:rsidR="00CE79A1" w:rsidRPr="007C1391" w:rsidRDefault="00CE79A1" w:rsidP="006028C8">
      <w:pPr>
        <w:pStyle w:val="Heading1"/>
        <w:keepLines/>
        <w:pBdr>
          <w:top w:val="single" w:sz="12" w:space="3" w:color="auto"/>
        </w:pBdr>
        <w:overflowPunct w:val="0"/>
        <w:snapToGrid/>
        <w:spacing w:before="240"/>
        <w:ind w:left="567" w:hanging="567"/>
        <w:textAlignment w:val="baseline"/>
        <w:rPr>
          <w:rFonts w:ascii="Arial" w:hAnsi="Arial"/>
          <w:b w:val="0"/>
          <w:bCs w:val="0"/>
          <w:sz w:val="36"/>
          <w:szCs w:val="20"/>
        </w:rPr>
      </w:pPr>
      <w:r w:rsidRPr="007C1391">
        <w:rPr>
          <w:rFonts w:ascii="Arial" w:hAnsi="Arial"/>
          <w:b w:val="0"/>
          <w:bCs w:val="0"/>
          <w:sz w:val="36"/>
          <w:szCs w:val="20"/>
        </w:rPr>
        <w:t>References</w:t>
      </w:r>
    </w:p>
    <w:p w14:paraId="63429241" w14:textId="68FDEA86" w:rsidR="00CF2A29" w:rsidRDefault="007C4164" w:rsidP="00DD6A54">
      <w:pPr>
        <w:widowControl w:val="0"/>
        <w:numPr>
          <w:ilvl w:val="0"/>
          <w:numId w:val="2"/>
        </w:numPr>
        <w:overflowPunct w:val="0"/>
        <w:snapToGrid/>
      </w:pPr>
      <w:r w:rsidRPr="007C4164">
        <w:t>RP-</w:t>
      </w:r>
      <w:r w:rsidR="005E5209">
        <w:t>222675</w:t>
      </w:r>
      <w:r w:rsidR="00784898" w:rsidRPr="00784898">
        <w:t xml:space="preserve">, </w:t>
      </w:r>
      <w:r w:rsidR="005E5209" w:rsidRPr="005E5209">
        <w:t>New WID on enhanced support of reduced capability NR devices</w:t>
      </w:r>
      <w:r w:rsidR="005E5209">
        <w:t xml:space="preserve">, </w:t>
      </w:r>
      <w:r w:rsidR="005E5209" w:rsidRPr="005E5209">
        <w:t>Ericsson</w:t>
      </w:r>
    </w:p>
    <w:p w14:paraId="3415D1A1" w14:textId="0562CDD9" w:rsidR="006D6C0E" w:rsidRDefault="006D6C0E" w:rsidP="006D6C0E">
      <w:pPr>
        <w:widowControl w:val="0"/>
        <w:overflowPunct w:val="0"/>
        <w:snapToGrid/>
      </w:pPr>
    </w:p>
    <w:p w14:paraId="3A7FB607" w14:textId="77777777" w:rsidR="006D6C0E" w:rsidRDefault="006D6C0E" w:rsidP="006D6C0E">
      <w:pPr>
        <w:widowControl w:val="0"/>
        <w:overflowPunct w:val="0"/>
        <w:snapToGrid/>
      </w:pPr>
    </w:p>
    <w:sectPr w:rsidR="006D6C0E">
      <w:foot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98775D" w14:textId="77777777" w:rsidR="00CF666E" w:rsidRDefault="00CF666E" w:rsidP="004C0876">
      <w:pPr>
        <w:spacing w:after="0"/>
      </w:pPr>
      <w:r>
        <w:separator/>
      </w:r>
    </w:p>
  </w:endnote>
  <w:endnote w:type="continuationSeparator" w:id="0">
    <w:p w14:paraId="588978E2" w14:textId="77777777" w:rsidR="00CF666E" w:rsidRDefault="00CF666E" w:rsidP="004C0876">
      <w:pPr>
        <w:spacing w:after="0"/>
      </w:pPr>
      <w:r>
        <w:continuationSeparator/>
      </w:r>
    </w:p>
  </w:endnote>
  <w:endnote w:type="continuationNotice" w:id="1">
    <w:p w14:paraId="778F378B" w14:textId="77777777" w:rsidR="00CF666E" w:rsidRDefault="00CF66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27987948"/>
      <w:docPartObj>
        <w:docPartGallery w:val="Page Numbers (Bottom of Page)"/>
        <w:docPartUnique/>
      </w:docPartObj>
    </w:sdtPr>
    <w:sdtEndPr/>
    <w:sdtContent>
      <w:sdt>
        <w:sdtPr>
          <w:id w:val="1728636285"/>
          <w:docPartObj>
            <w:docPartGallery w:val="Page Numbers (Top of Page)"/>
            <w:docPartUnique/>
          </w:docPartObj>
        </w:sdtPr>
        <w:sdtEndPr/>
        <w:sdtContent>
          <w:p w14:paraId="6143124E" w14:textId="679AD1F3" w:rsidR="00FE73F0" w:rsidRDefault="00FE73F0">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7586F307" w14:textId="77777777" w:rsidR="00611C64" w:rsidRDefault="00611C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32AA78" w14:textId="77777777" w:rsidR="00CF666E" w:rsidRDefault="00CF666E" w:rsidP="004C0876">
      <w:pPr>
        <w:spacing w:after="0"/>
      </w:pPr>
      <w:r>
        <w:separator/>
      </w:r>
    </w:p>
  </w:footnote>
  <w:footnote w:type="continuationSeparator" w:id="0">
    <w:p w14:paraId="731884E8" w14:textId="77777777" w:rsidR="00CF666E" w:rsidRDefault="00CF666E" w:rsidP="004C0876">
      <w:pPr>
        <w:spacing w:after="0"/>
      </w:pPr>
      <w:r>
        <w:continuationSeparator/>
      </w:r>
    </w:p>
  </w:footnote>
  <w:footnote w:type="continuationNotice" w:id="1">
    <w:p w14:paraId="040658AA" w14:textId="77777777" w:rsidR="00CF666E" w:rsidRDefault="00CF666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2D4296B"/>
    <w:multiLevelType w:val="hybridMultilevel"/>
    <w:tmpl w:val="7F60E7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432CB3"/>
    <w:multiLevelType w:val="multilevel"/>
    <w:tmpl w:val="F9A61576"/>
    <w:lvl w:ilvl="0">
      <w:start w:val="1"/>
      <w:numFmt w:val="decimal"/>
      <w:pStyle w:val="ListNumber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C636F73"/>
    <w:multiLevelType w:val="hybridMultilevel"/>
    <w:tmpl w:val="1F984E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E11FD4"/>
    <w:multiLevelType w:val="multilevel"/>
    <w:tmpl w:val="A03EEBC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6" w15:restartNumberingAfterBreak="0">
    <w:nsid w:val="131A6F1A"/>
    <w:multiLevelType w:val="multilevel"/>
    <w:tmpl w:val="13062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449726A"/>
    <w:multiLevelType w:val="multilevel"/>
    <w:tmpl w:val="4B6CEC50"/>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8" w15:restartNumberingAfterBreak="0">
    <w:nsid w:val="1FCE4FB8"/>
    <w:multiLevelType w:val="hybridMultilevel"/>
    <w:tmpl w:val="FA5A19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6B585D"/>
    <w:multiLevelType w:val="multilevel"/>
    <w:tmpl w:val="59520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538024A"/>
    <w:multiLevelType w:val="hybridMultilevel"/>
    <w:tmpl w:val="DBE4321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75D49F8"/>
    <w:multiLevelType w:val="hybridMultilevel"/>
    <w:tmpl w:val="DB6AE9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BC0121"/>
    <w:multiLevelType w:val="multilevel"/>
    <w:tmpl w:val="F98C1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954244D"/>
    <w:multiLevelType w:val="multilevel"/>
    <w:tmpl w:val="95FC93D8"/>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B4706F2"/>
    <w:multiLevelType w:val="hybridMultilevel"/>
    <w:tmpl w:val="47F4EA52"/>
    <w:lvl w:ilvl="0" w:tplc="04090005">
      <w:start w:val="1"/>
      <w:numFmt w:val="bullet"/>
      <w:lvlText w:val=""/>
      <w:lvlJc w:val="left"/>
      <w:pPr>
        <w:ind w:left="360" w:hanging="360"/>
      </w:pPr>
      <w:rPr>
        <w:rFonts w:ascii="Wingdings" w:hAnsi="Wingding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5" w15:restartNumberingAfterBreak="0">
    <w:nsid w:val="2D1A6AD8"/>
    <w:multiLevelType w:val="multilevel"/>
    <w:tmpl w:val="527E015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D2519F4"/>
    <w:multiLevelType w:val="hybridMultilevel"/>
    <w:tmpl w:val="C672B964"/>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04090A"/>
    <w:multiLevelType w:val="multilevel"/>
    <w:tmpl w:val="C5CE2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E4C6708"/>
    <w:multiLevelType w:val="multilevel"/>
    <w:tmpl w:val="E2709536"/>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0" w15:restartNumberingAfterBreak="0">
    <w:nsid w:val="33B557C1"/>
    <w:multiLevelType w:val="multilevel"/>
    <w:tmpl w:val="5BF4075C"/>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heme="minorBidi" w:hAnsiTheme="minorBidi" w:cstheme="minorBidi" w:hint="default"/>
        <w:b w:val="0"/>
        <w:i w:val="0"/>
        <w:sz w:val="28"/>
        <w:szCs w:val="36"/>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34C65C11"/>
    <w:multiLevelType w:val="multilevel"/>
    <w:tmpl w:val="92C6214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69824AF"/>
    <w:multiLevelType w:val="multilevel"/>
    <w:tmpl w:val="369824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7160E46"/>
    <w:multiLevelType w:val="multilevel"/>
    <w:tmpl w:val="7A98A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B4D2FB3"/>
    <w:multiLevelType w:val="hybridMultilevel"/>
    <w:tmpl w:val="2AC2BC42"/>
    <w:lvl w:ilvl="0" w:tplc="0409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5" w15:restartNumberingAfterBreak="0">
    <w:nsid w:val="443E4314"/>
    <w:multiLevelType w:val="multilevel"/>
    <w:tmpl w:val="2752F70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7D629B8"/>
    <w:multiLevelType w:val="hybridMultilevel"/>
    <w:tmpl w:val="77F8C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1D7293"/>
    <w:multiLevelType w:val="hybridMultilevel"/>
    <w:tmpl w:val="968ABDF4"/>
    <w:lvl w:ilvl="0" w:tplc="110A01EC">
      <w:numFmt w:val="bullet"/>
      <w:lvlText w:val="-"/>
      <w:lvlJc w:val="left"/>
      <w:pPr>
        <w:ind w:left="773" w:hanging="360"/>
      </w:pPr>
      <w:rPr>
        <w:rFonts w:ascii="Times" w:eastAsia="Malgun Gothic" w:hAnsi="Times" w:cs="Times"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8"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9" w15:restartNumberingAfterBreak="0">
    <w:nsid w:val="5B0635B5"/>
    <w:multiLevelType w:val="multilevel"/>
    <w:tmpl w:val="5F0CDDA4"/>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30" w15:restartNumberingAfterBreak="0">
    <w:nsid w:val="60BE2C21"/>
    <w:multiLevelType w:val="multilevel"/>
    <w:tmpl w:val="547ED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432111A"/>
    <w:multiLevelType w:val="multilevel"/>
    <w:tmpl w:val="A9B4D77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4567B1D"/>
    <w:multiLevelType w:val="multilevel"/>
    <w:tmpl w:val="D18A4876"/>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F515231"/>
    <w:multiLevelType w:val="hybridMultilevel"/>
    <w:tmpl w:val="EF5C47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35" w15:restartNumberingAfterBreak="0">
    <w:nsid w:val="79BD236E"/>
    <w:multiLevelType w:val="multilevel"/>
    <w:tmpl w:val="B3C08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CCF5E73"/>
    <w:multiLevelType w:val="multilevel"/>
    <w:tmpl w:val="67522E6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CFA655F"/>
    <w:multiLevelType w:val="multilevel"/>
    <w:tmpl w:val="844CDCAA"/>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DBB4A2B"/>
    <w:multiLevelType w:val="hybridMultilevel"/>
    <w:tmpl w:val="16C6E90A"/>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9" w15:restartNumberingAfterBreak="0">
    <w:nsid w:val="7E8055F5"/>
    <w:multiLevelType w:val="multilevel"/>
    <w:tmpl w:val="D2244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F954EAE"/>
    <w:multiLevelType w:val="hybridMultilevel"/>
    <w:tmpl w:val="794E3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B64EAE"/>
    <w:multiLevelType w:val="multilevel"/>
    <w:tmpl w:val="511AAE76"/>
    <w:lvl w:ilvl="0">
      <w:start w:val="1"/>
      <w:numFmt w:val="decimal"/>
      <w:lvlText w:val="[%1]"/>
      <w:lvlJc w:val="left"/>
      <w:pPr>
        <w:tabs>
          <w:tab w:val="num" w:pos="420"/>
        </w:tabs>
        <w:ind w:left="420" w:hanging="420"/>
      </w:p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num w:numId="1">
    <w:abstractNumId w:val="20"/>
  </w:num>
  <w:num w:numId="2">
    <w:abstractNumId w:val="42"/>
  </w:num>
  <w:num w:numId="3">
    <w:abstractNumId w:val="11"/>
  </w:num>
  <w:num w:numId="4">
    <w:abstractNumId w:val="4"/>
  </w:num>
  <w:num w:numId="5">
    <w:abstractNumId w:val="0"/>
  </w:num>
  <w:num w:numId="6">
    <w:abstractNumId w:val="3"/>
  </w:num>
  <w:num w:numId="7">
    <w:abstractNumId w:val="18"/>
  </w:num>
  <w:num w:numId="8">
    <w:abstractNumId w:val="21"/>
  </w:num>
  <w:num w:numId="9">
    <w:abstractNumId w:val="37"/>
  </w:num>
  <w:num w:numId="10">
    <w:abstractNumId w:val="36"/>
  </w:num>
  <w:num w:numId="11">
    <w:abstractNumId w:val="13"/>
  </w:num>
  <w:num w:numId="12">
    <w:abstractNumId w:val="25"/>
  </w:num>
  <w:num w:numId="13">
    <w:abstractNumId w:val="5"/>
  </w:num>
  <w:num w:numId="14">
    <w:abstractNumId w:val="31"/>
  </w:num>
  <w:num w:numId="15">
    <w:abstractNumId w:val="22"/>
  </w:num>
  <w:num w:numId="16">
    <w:abstractNumId w:val="7"/>
  </w:num>
  <w:num w:numId="17">
    <w:abstractNumId w:val="32"/>
  </w:num>
  <w:num w:numId="18">
    <w:abstractNumId w:val="15"/>
  </w:num>
  <w:num w:numId="19">
    <w:abstractNumId w:val="29"/>
  </w:num>
  <w:num w:numId="20">
    <w:abstractNumId w:val="41"/>
  </w:num>
  <w:num w:numId="21">
    <w:abstractNumId w:val="34"/>
  </w:num>
  <w:num w:numId="22">
    <w:abstractNumId w:val="28"/>
  </w:num>
  <w:num w:numId="23">
    <w:abstractNumId w:val="19"/>
  </w:num>
  <w:num w:numId="24">
    <w:abstractNumId w:val="14"/>
  </w:num>
  <w:num w:numId="25">
    <w:abstractNumId w:val="33"/>
  </w:num>
  <w:num w:numId="26">
    <w:abstractNumId w:val="16"/>
  </w:num>
  <w:num w:numId="27">
    <w:abstractNumId w:val="2"/>
  </w:num>
  <w:num w:numId="28">
    <w:abstractNumId w:val="26"/>
  </w:num>
  <w:num w:numId="29">
    <w:abstractNumId w:val="8"/>
  </w:num>
  <w:num w:numId="30">
    <w:abstractNumId w:val="35"/>
  </w:num>
  <w:num w:numId="31">
    <w:abstractNumId w:val="1"/>
  </w:num>
  <w:num w:numId="32">
    <w:abstractNumId w:val="38"/>
  </w:num>
  <w:num w:numId="33">
    <w:abstractNumId w:val="10"/>
  </w:num>
  <w:num w:numId="34">
    <w:abstractNumId w:val="30"/>
  </w:num>
  <w:num w:numId="35">
    <w:abstractNumId w:val="12"/>
  </w:num>
  <w:num w:numId="36">
    <w:abstractNumId w:val="23"/>
  </w:num>
  <w:num w:numId="37">
    <w:abstractNumId w:val="9"/>
  </w:num>
  <w:num w:numId="38">
    <w:abstractNumId w:val="17"/>
  </w:num>
  <w:num w:numId="39">
    <w:abstractNumId w:val="40"/>
  </w:num>
  <w:num w:numId="40">
    <w:abstractNumId w:val="39"/>
  </w:num>
  <w:num w:numId="41">
    <w:abstractNumId w:val="6"/>
  </w:num>
  <w:num w:numId="42">
    <w:abstractNumId w:val="27"/>
  </w:num>
  <w:num w:numId="43">
    <w:abstractNumId w:val="2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trackRevisions/>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0B12"/>
    <w:rsid w:val="00001154"/>
    <w:rsid w:val="0000178D"/>
    <w:rsid w:val="000020E9"/>
    <w:rsid w:val="000029B2"/>
    <w:rsid w:val="000033B2"/>
    <w:rsid w:val="00003473"/>
    <w:rsid w:val="0000420A"/>
    <w:rsid w:val="000058ED"/>
    <w:rsid w:val="00005F7B"/>
    <w:rsid w:val="000107BE"/>
    <w:rsid w:val="00010F6B"/>
    <w:rsid w:val="00012325"/>
    <w:rsid w:val="000123AD"/>
    <w:rsid w:val="00012688"/>
    <w:rsid w:val="000126B2"/>
    <w:rsid w:val="00012884"/>
    <w:rsid w:val="0001344B"/>
    <w:rsid w:val="000140A3"/>
    <w:rsid w:val="00014A00"/>
    <w:rsid w:val="00015410"/>
    <w:rsid w:val="00016127"/>
    <w:rsid w:val="000161B0"/>
    <w:rsid w:val="000162C8"/>
    <w:rsid w:val="00020C1D"/>
    <w:rsid w:val="00020C2A"/>
    <w:rsid w:val="0002157A"/>
    <w:rsid w:val="00021F28"/>
    <w:rsid w:val="0002393D"/>
    <w:rsid w:val="00025E62"/>
    <w:rsid w:val="000268F5"/>
    <w:rsid w:val="00026966"/>
    <w:rsid w:val="00026E33"/>
    <w:rsid w:val="00030621"/>
    <w:rsid w:val="000309FB"/>
    <w:rsid w:val="00031372"/>
    <w:rsid w:val="00031D16"/>
    <w:rsid w:val="00031EE5"/>
    <w:rsid w:val="00031F6A"/>
    <w:rsid w:val="00032729"/>
    <w:rsid w:val="0003354A"/>
    <w:rsid w:val="000336F4"/>
    <w:rsid w:val="00033B5F"/>
    <w:rsid w:val="000346AB"/>
    <w:rsid w:val="00034EAF"/>
    <w:rsid w:val="000354E5"/>
    <w:rsid w:val="000364A0"/>
    <w:rsid w:val="00036871"/>
    <w:rsid w:val="000368CB"/>
    <w:rsid w:val="000368EC"/>
    <w:rsid w:val="00036E6A"/>
    <w:rsid w:val="00036F25"/>
    <w:rsid w:val="0003771E"/>
    <w:rsid w:val="00037B87"/>
    <w:rsid w:val="00042876"/>
    <w:rsid w:val="00044B9A"/>
    <w:rsid w:val="0004518F"/>
    <w:rsid w:val="00047601"/>
    <w:rsid w:val="0004787A"/>
    <w:rsid w:val="0005089C"/>
    <w:rsid w:val="00053268"/>
    <w:rsid w:val="00055A0C"/>
    <w:rsid w:val="0005617A"/>
    <w:rsid w:val="0005641C"/>
    <w:rsid w:val="0005645F"/>
    <w:rsid w:val="00056843"/>
    <w:rsid w:val="00057683"/>
    <w:rsid w:val="000577B4"/>
    <w:rsid w:val="00057A3B"/>
    <w:rsid w:val="00060BC7"/>
    <w:rsid w:val="00061216"/>
    <w:rsid w:val="00061E86"/>
    <w:rsid w:val="0006278E"/>
    <w:rsid w:val="00064A28"/>
    <w:rsid w:val="000660ED"/>
    <w:rsid w:val="00066263"/>
    <w:rsid w:val="00066338"/>
    <w:rsid w:val="00066806"/>
    <w:rsid w:val="00067254"/>
    <w:rsid w:val="00070CD1"/>
    <w:rsid w:val="00071485"/>
    <w:rsid w:val="0007221F"/>
    <w:rsid w:val="00073439"/>
    <w:rsid w:val="000746BF"/>
    <w:rsid w:val="00074ADB"/>
    <w:rsid w:val="000758D2"/>
    <w:rsid w:val="00077C69"/>
    <w:rsid w:val="00077CC0"/>
    <w:rsid w:val="00080ED5"/>
    <w:rsid w:val="000810C2"/>
    <w:rsid w:val="00083593"/>
    <w:rsid w:val="000842F5"/>
    <w:rsid w:val="000849F7"/>
    <w:rsid w:val="0008537E"/>
    <w:rsid w:val="00087678"/>
    <w:rsid w:val="0009279E"/>
    <w:rsid w:val="0009334A"/>
    <w:rsid w:val="00093F5B"/>
    <w:rsid w:val="00094148"/>
    <w:rsid w:val="0009490D"/>
    <w:rsid w:val="00095033"/>
    <w:rsid w:val="000951FB"/>
    <w:rsid w:val="0009546B"/>
    <w:rsid w:val="000969AE"/>
    <w:rsid w:val="000969CD"/>
    <w:rsid w:val="00096EC1"/>
    <w:rsid w:val="000978FB"/>
    <w:rsid w:val="00097BEB"/>
    <w:rsid w:val="000A03F9"/>
    <w:rsid w:val="000A13B4"/>
    <w:rsid w:val="000A2F7F"/>
    <w:rsid w:val="000A2FE7"/>
    <w:rsid w:val="000A34D3"/>
    <w:rsid w:val="000A6B99"/>
    <w:rsid w:val="000A7293"/>
    <w:rsid w:val="000A7E44"/>
    <w:rsid w:val="000B01A0"/>
    <w:rsid w:val="000B1ED6"/>
    <w:rsid w:val="000B2446"/>
    <w:rsid w:val="000B28E9"/>
    <w:rsid w:val="000B414A"/>
    <w:rsid w:val="000B516C"/>
    <w:rsid w:val="000B5183"/>
    <w:rsid w:val="000B7E1D"/>
    <w:rsid w:val="000C0553"/>
    <w:rsid w:val="000C0A12"/>
    <w:rsid w:val="000C0ADD"/>
    <w:rsid w:val="000C17DD"/>
    <w:rsid w:val="000C3717"/>
    <w:rsid w:val="000C41A4"/>
    <w:rsid w:val="000C45B5"/>
    <w:rsid w:val="000C4D16"/>
    <w:rsid w:val="000C5232"/>
    <w:rsid w:val="000C5541"/>
    <w:rsid w:val="000C5B28"/>
    <w:rsid w:val="000C6307"/>
    <w:rsid w:val="000C71C2"/>
    <w:rsid w:val="000D0C2C"/>
    <w:rsid w:val="000D1DD3"/>
    <w:rsid w:val="000D201A"/>
    <w:rsid w:val="000D261B"/>
    <w:rsid w:val="000D2B35"/>
    <w:rsid w:val="000D31BC"/>
    <w:rsid w:val="000D3E51"/>
    <w:rsid w:val="000D4BEB"/>
    <w:rsid w:val="000D504F"/>
    <w:rsid w:val="000D5F49"/>
    <w:rsid w:val="000D6144"/>
    <w:rsid w:val="000D7F6F"/>
    <w:rsid w:val="000E007E"/>
    <w:rsid w:val="000E22AB"/>
    <w:rsid w:val="000E2CA7"/>
    <w:rsid w:val="000E36C2"/>
    <w:rsid w:val="000E3AFE"/>
    <w:rsid w:val="000E3E22"/>
    <w:rsid w:val="000E453D"/>
    <w:rsid w:val="000E4CF3"/>
    <w:rsid w:val="000E4FA8"/>
    <w:rsid w:val="000E539A"/>
    <w:rsid w:val="000E5E52"/>
    <w:rsid w:val="000E5F47"/>
    <w:rsid w:val="000E667B"/>
    <w:rsid w:val="000E6708"/>
    <w:rsid w:val="000E7322"/>
    <w:rsid w:val="000E78BA"/>
    <w:rsid w:val="000F0CB9"/>
    <w:rsid w:val="000F12C2"/>
    <w:rsid w:val="000F22DB"/>
    <w:rsid w:val="000F3BAF"/>
    <w:rsid w:val="000F3C15"/>
    <w:rsid w:val="000F5C68"/>
    <w:rsid w:val="000F6703"/>
    <w:rsid w:val="000F7D6D"/>
    <w:rsid w:val="00100FEF"/>
    <w:rsid w:val="0010108F"/>
    <w:rsid w:val="00101523"/>
    <w:rsid w:val="00101F2E"/>
    <w:rsid w:val="0010210F"/>
    <w:rsid w:val="001033FE"/>
    <w:rsid w:val="00104598"/>
    <w:rsid w:val="001055F1"/>
    <w:rsid w:val="00105D40"/>
    <w:rsid w:val="00105E22"/>
    <w:rsid w:val="00106517"/>
    <w:rsid w:val="0010661B"/>
    <w:rsid w:val="00106C52"/>
    <w:rsid w:val="001078A4"/>
    <w:rsid w:val="00107AB7"/>
    <w:rsid w:val="00107B7C"/>
    <w:rsid w:val="00107E80"/>
    <w:rsid w:val="00111744"/>
    <w:rsid w:val="00113D6E"/>
    <w:rsid w:val="00113EAB"/>
    <w:rsid w:val="0011528F"/>
    <w:rsid w:val="001152C5"/>
    <w:rsid w:val="00116DA2"/>
    <w:rsid w:val="00117014"/>
    <w:rsid w:val="00117834"/>
    <w:rsid w:val="001179B7"/>
    <w:rsid w:val="00122623"/>
    <w:rsid w:val="00122885"/>
    <w:rsid w:val="001228DD"/>
    <w:rsid w:val="00122E13"/>
    <w:rsid w:val="00123A36"/>
    <w:rsid w:val="00124071"/>
    <w:rsid w:val="00124713"/>
    <w:rsid w:val="00125A40"/>
    <w:rsid w:val="00126BF6"/>
    <w:rsid w:val="00127811"/>
    <w:rsid w:val="00130E3C"/>
    <w:rsid w:val="00131566"/>
    <w:rsid w:val="001316EB"/>
    <w:rsid w:val="00132CEA"/>
    <w:rsid w:val="00133206"/>
    <w:rsid w:val="00133B28"/>
    <w:rsid w:val="001341DE"/>
    <w:rsid w:val="001346AB"/>
    <w:rsid w:val="00135E07"/>
    <w:rsid w:val="00136B68"/>
    <w:rsid w:val="00137B8B"/>
    <w:rsid w:val="00137D38"/>
    <w:rsid w:val="00137D41"/>
    <w:rsid w:val="0014049F"/>
    <w:rsid w:val="0014058C"/>
    <w:rsid w:val="00140923"/>
    <w:rsid w:val="0014156D"/>
    <w:rsid w:val="00141B06"/>
    <w:rsid w:val="00141E9B"/>
    <w:rsid w:val="00142476"/>
    <w:rsid w:val="00142CF5"/>
    <w:rsid w:val="0014386C"/>
    <w:rsid w:val="00143AA5"/>
    <w:rsid w:val="00143B33"/>
    <w:rsid w:val="001441C5"/>
    <w:rsid w:val="00144D94"/>
    <w:rsid w:val="001459DF"/>
    <w:rsid w:val="00146F06"/>
    <w:rsid w:val="00147F0A"/>
    <w:rsid w:val="001508BE"/>
    <w:rsid w:val="00150EB5"/>
    <w:rsid w:val="0015175B"/>
    <w:rsid w:val="00152BCF"/>
    <w:rsid w:val="00152DB1"/>
    <w:rsid w:val="001539A0"/>
    <w:rsid w:val="00153E5F"/>
    <w:rsid w:val="00154219"/>
    <w:rsid w:val="00155115"/>
    <w:rsid w:val="00155F3E"/>
    <w:rsid w:val="001567AA"/>
    <w:rsid w:val="0015717C"/>
    <w:rsid w:val="00157961"/>
    <w:rsid w:val="00160795"/>
    <w:rsid w:val="00162C4B"/>
    <w:rsid w:val="00165495"/>
    <w:rsid w:val="00165535"/>
    <w:rsid w:val="0016554D"/>
    <w:rsid w:val="00166192"/>
    <w:rsid w:val="001664F9"/>
    <w:rsid w:val="00166E11"/>
    <w:rsid w:val="00166E1E"/>
    <w:rsid w:val="00167110"/>
    <w:rsid w:val="00167275"/>
    <w:rsid w:val="00167332"/>
    <w:rsid w:val="00170850"/>
    <w:rsid w:val="001719B6"/>
    <w:rsid w:val="00172182"/>
    <w:rsid w:val="00174C0D"/>
    <w:rsid w:val="00174C9F"/>
    <w:rsid w:val="001761A1"/>
    <w:rsid w:val="001762C3"/>
    <w:rsid w:val="00176BA2"/>
    <w:rsid w:val="0017724D"/>
    <w:rsid w:val="00177CE2"/>
    <w:rsid w:val="0018326C"/>
    <w:rsid w:val="00183D53"/>
    <w:rsid w:val="00183D99"/>
    <w:rsid w:val="00184DF3"/>
    <w:rsid w:val="001853FE"/>
    <w:rsid w:val="00185C61"/>
    <w:rsid w:val="00186B59"/>
    <w:rsid w:val="00186C7F"/>
    <w:rsid w:val="00186F19"/>
    <w:rsid w:val="00187183"/>
    <w:rsid w:val="00190D97"/>
    <w:rsid w:val="0019102A"/>
    <w:rsid w:val="00191154"/>
    <w:rsid w:val="00191DBF"/>
    <w:rsid w:val="00191DD9"/>
    <w:rsid w:val="00192AFC"/>
    <w:rsid w:val="001933E3"/>
    <w:rsid w:val="00193D4C"/>
    <w:rsid w:val="001953A6"/>
    <w:rsid w:val="00195805"/>
    <w:rsid w:val="00195CA5"/>
    <w:rsid w:val="00197009"/>
    <w:rsid w:val="0019713C"/>
    <w:rsid w:val="001972D1"/>
    <w:rsid w:val="001A089E"/>
    <w:rsid w:val="001A2EF2"/>
    <w:rsid w:val="001A2F6C"/>
    <w:rsid w:val="001A3225"/>
    <w:rsid w:val="001A3259"/>
    <w:rsid w:val="001A465A"/>
    <w:rsid w:val="001A469E"/>
    <w:rsid w:val="001A4F59"/>
    <w:rsid w:val="001A52DB"/>
    <w:rsid w:val="001A584E"/>
    <w:rsid w:val="001A6EB4"/>
    <w:rsid w:val="001A7010"/>
    <w:rsid w:val="001A7066"/>
    <w:rsid w:val="001A7CD0"/>
    <w:rsid w:val="001B0A55"/>
    <w:rsid w:val="001B0CAC"/>
    <w:rsid w:val="001B0D9A"/>
    <w:rsid w:val="001B0E13"/>
    <w:rsid w:val="001B117D"/>
    <w:rsid w:val="001B1E6F"/>
    <w:rsid w:val="001B2246"/>
    <w:rsid w:val="001B2E45"/>
    <w:rsid w:val="001B43CB"/>
    <w:rsid w:val="001B46B6"/>
    <w:rsid w:val="001B5F8F"/>
    <w:rsid w:val="001C0C19"/>
    <w:rsid w:val="001C0C81"/>
    <w:rsid w:val="001C0EEB"/>
    <w:rsid w:val="001C1DB4"/>
    <w:rsid w:val="001C2991"/>
    <w:rsid w:val="001C3727"/>
    <w:rsid w:val="001C39B2"/>
    <w:rsid w:val="001C45D3"/>
    <w:rsid w:val="001C4CC3"/>
    <w:rsid w:val="001C4F95"/>
    <w:rsid w:val="001C6828"/>
    <w:rsid w:val="001C6A6B"/>
    <w:rsid w:val="001C7411"/>
    <w:rsid w:val="001C7C47"/>
    <w:rsid w:val="001D02AD"/>
    <w:rsid w:val="001D08D5"/>
    <w:rsid w:val="001D0D21"/>
    <w:rsid w:val="001D2671"/>
    <w:rsid w:val="001D2F69"/>
    <w:rsid w:val="001D360E"/>
    <w:rsid w:val="001D4654"/>
    <w:rsid w:val="001D4BE1"/>
    <w:rsid w:val="001D601B"/>
    <w:rsid w:val="001D66C8"/>
    <w:rsid w:val="001D77A2"/>
    <w:rsid w:val="001D77CC"/>
    <w:rsid w:val="001E02AA"/>
    <w:rsid w:val="001E06A4"/>
    <w:rsid w:val="001E08B1"/>
    <w:rsid w:val="001E1A92"/>
    <w:rsid w:val="001E1D21"/>
    <w:rsid w:val="001E3135"/>
    <w:rsid w:val="001E5720"/>
    <w:rsid w:val="001E6711"/>
    <w:rsid w:val="001E7B74"/>
    <w:rsid w:val="001F0F29"/>
    <w:rsid w:val="001F100E"/>
    <w:rsid w:val="001F3A65"/>
    <w:rsid w:val="001F3D96"/>
    <w:rsid w:val="001F46C4"/>
    <w:rsid w:val="001F5072"/>
    <w:rsid w:val="001F51E5"/>
    <w:rsid w:val="001F64A9"/>
    <w:rsid w:val="001F663C"/>
    <w:rsid w:val="001F67C1"/>
    <w:rsid w:val="001F6B7F"/>
    <w:rsid w:val="001F6C59"/>
    <w:rsid w:val="001F7087"/>
    <w:rsid w:val="001F7997"/>
    <w:rsid w:val="001F7AF9"/>
    <w:rsid w:val="00200F8F"/>
    <w:rsid w:val="002018B8"/>
    <w:rsid w:val="00202B61"/>
    <w:rsid w:val="00203100"/>
    <w:rsid w:val="00203FC4"/>
    <w:rsid w:val="002053D9"/>
    <w:rsid w:val="00205E91"/>
    <w:rsid w:val="0020747E"/>
    <w:rsid w:val="00211B66"/>
    <w:rsid w:val="00211D62"/>
    <w:rsid w:val="002124DF"/>
    <w:rsid w:val="00215DF8"/>
    <w:rsid w:val="002167FA"/>
    <w:rsid w:val="0021700D"/>
    <w:rsid w:val="00217B5F"/>
    <w:rsid w:val="00220DDF"/>
    <w:rsid w:val="002212B8"/>
    <w:rsid w:val="00222A70"/>
    <w:rsid w:val="00222BB7"/>
    <w:rsid w:val="002234A7"/>
    <w:rsid w:val="00223685"/>
    <w:rsid w:val="002236C9"/>
    <w:rsid w:val="002237E6"/>
    <w:rsid w:val="00224209"/>
    <w:rsid w:val="00225EF0"/>
    <w:rsid w:val="002268E9"/>
    <w:rsid w:val="0022737F"/>
    <w:rsid w:val="00230496"/>
    <w:rsid w:val="00230892"/>
    <w:rsid w:val="00230E2D"/>
    <w:rsid w:val="00232853"/>
    <w:rsid w:val="00232CAC"/>
    <w:rsid w:val="0023365D"/>
    <w:rsid w:val="002336C0"/>
    <w:rsid w:val="002347E5"/>
    <w:rsid w:val="00234EB8"/>
    <w:rsid w:val="00235DAF"/>
    <w:rsid w:val="0023711A"/>
    <w:rsid w:val="002376E3"/>
    <w:rsid w:val="00240004"/>
    <w:rsid w:val="00240779"/>
    <w:rsid w:val="00240A24"/>
    <w:rsid w:val="00241CB7"/>
    <w:rsid w:val="002429FE"/>
    <w:rsid w:val="002430E4"/>
    <w:rsid w:val="00243B1C"/>
    <w:rsid w:val="002458C1"/>
    <w:rsid w:val="002470AB"/>
    <w:rsid w:val="00247951"/>
    <w:rsid w:val="002500FC"/>
    <w:rsid w:val="00251332"/>
    <w:rsid w:val="002516DA"/>
    <w:rsid w:val="002517C1"/>
    <w:rsid w:val="002518AC"/>
    <w:rsid w:val="002547C6"/>
    <w:rsid w:val="00254A0F"/>
    <w:rsid w:val="002555EA"/>
    <w:rsid w:val="00255C7C"/>
    <w:rsid w:val="0025703D"/>
    <w:rsid w:val="002570CB"/>
    <w:rsid w:val="0025716B"/>
    <w:rsid w:val="0025776E"/>
    <w:rsid w:val="002579A4"/>
    <w:rsid w:val="00257A4E"/>
    <w:rsid w:val="002605A8"/>
    <w:rsid w:val="00260E43"/>
    <w:rsid w:val="0026208F"/>
    <w:rsid w:val="0026234E"/>
    <w:rsid w:val="002655E3"/>
    <w:rsid w:val="0026628E"/>
    <w:rsid w:val="00266A04"/>
    <w:rsid w:val="0026718B"/>
    <w:rsid w:val="00267556"/>
    <w:rsid w:val="002703CA"/>
    <w:rsid w:val="00272C16"/>
    <w:rsid w:val="00273359"/>
    <w:rsid w:val="00273C29"/>
    <w:rsid w:val="00274470"/>
    <w:rsid w:val="00274972"/>
    <w:rsid w:val="00280346"/>
    <w:rsid w:val="002815BC"/>
    <w:rsid w:val="0028206B"/>
    <w:rsid w:val="00282BD5"/>
    <w:rsid w:val="0028301B"/>
    <w:rsid w:val="0028358A"/>
    <w:rsid w:val="00283CE6"/>
    <w:rsid w:val="00284D0A"/>
    <w:rsid w:val="00285A61"/>
    <w:rsid w:val="00285C8E"/>
    <w:rsid w:val="00285D81"/>
    <w:rsid w:val="00287028"/>
    <w:rsid w:val="0028713D"/>
    <w:rsid w:val="00287F57"/>
    <w:rsid w:val="002912A4"/>
    <w:rsid w:val="002915B4"/>
    <w:rsid w:val="002918F3"/>
    <w:rsid w:val="00291C61"/>
    <w:rsid w:val="00291F0E"/>
    <w:rsid w:val="0029341E"/>
    <w:rsid w:val="002940DE"/>
    <w:rsid w:val="002941D2"/>
    <w:rsid w:val="00294EC7"/>
    <w:rsid w:val="00295114"/>
    <w:rsid w:val="00295687"/>
    <w:rsid w:val="00295E1C"/>
    <w:rsid w:val="0029644B"/>
    <w:rsid w:val="00296846"/>
    <w:rsid w:val="00296B5C"/>
    <w:rsid w:val="00297089"/>
    <w:rsid w:val="0029782D"/>
    <w:rsid w:val="002A0523"/>
    <w:rsid w:val="002A094B"/>
    <w:rsid w:val="002A0E5E"/>
    <w:rsid w:val="002A288F"/>
    <w:rsid w:val="002A409A"/>
    <w:rsid w:val="002A4772"/>
    <w:rsid w:val="002A4837"/>
    <w:rsid w:val="002A4C8D"/>
    <w:rsid w:val="002A4D2B"/>
    <w:rsid w:val="002A55B3"/>
    <w:rsid w:val="002A5CE7"/>
    <w:rsid w:val="002A5D6A"/>
    <w:rsid w:val="002A6056"/>
    <w:rsid w:val="002A6BB6"/>
    <w:rsid w:val="002A6E15"/>
    <w:rsid w:val="002B075A"/>
    <w:rsid w:val="002B0D69"/>
    <w:rsid w:val="002B254D"/>
    <w:rsid w:val="002B29B2"/>
    <w:rsid w:val="002B33EA"/>
    <w:rsid w:val="002B4397"/>
    <w:rsid w:val="002B4659"/>
    <w:rsid w:val="002B4F1F"/>
    <w:rsid w:val="002B5711"/>
    <w:rsid w:val="002B5780"/>
    <w:rsid w:val="002B6308"/>
    <w:rsid w:val="002B647B"/>
    <w:rsid w:val="002B65EF"/>
    <w:rsid w:val="002B6601"/>
    <w:rsid w:val="002B7067"/>
    <w:rsid w:val="002B7110"/>
    <w:rsid w:val="002B7245"/>
    <w:rsid w:val="002B73EE"/>
    <w:rsid w:val="002B781B"/>
    <w:rsid w:val="002C0FF0"/>
    <w:rsid w:val="002C118C"/>
    <w:rsid w:val="002C1D8F"/>
    <w:rsid w:val="002C2257"/>
    <w:rsid w:val="002C2CCF"/>
    <w:rsid w:val="002C2F53"/>
    <w:rsid w:val="002C32F2"/>
    <w:rsid w:val="002C3952"/>
    <w:rsid w:val="002C3BEF"/>
    <w:rsid w:val="002C5B81"/>
    <w:rsid w:val="002C6138"/>
    <w:rsid w:val="002C6EE3"/>
    <w:rsid w:val="002C77D0"/>
    <w:rsid w:val="002D0444"/>
    <w:rsid w:val="002D0FD9"/>
    <w:rsid w:val="002D10F2"/>
    <w:rsid w:val="002D19C1"/>
    <w:rsid w:val="002D1F61"/>
    <w:rsid w:val="002D222A"/>
    <w:rsid w:val="002D2FC7"/>
    <w:rsid w:val="002D3099"/>
    <w:rsid w:val="002D39F9"/>
    <w:rsid w:val="002D4027"/>
    <w:rsid w:val="002D4386"/>
    <w:rsid w:val="002D4988"/>
    <w:rsid w:val="002D5053"/>
    <w:rsid w:val="002D505D"/>
    <w:rsid w:val="002D6854"/>
    <w:rsid w:val="002D7B26"/>
    <w:rsid w:val="002E1C44"/>
    <w:rsid w:val="002E1FF3"/>
    <w:rsid w:val="002E26FF"/>
    <w:rsid w:val="002E2D4D"/>
    <w:rsid w:val="002E3491"/>
    <w:rsid w:val="002E4004"/>
    <w:rsid w:val="002E5D09"/>
    <w:rsid w:val="002E5F18"/>
    <w:rsid w:val="002E6500"/>
    <w:rsid w:val="002E6D80"/>
    <w:rsid w:val="002F0669"/>
    <w:rsid w:val="002F1549"/>
    <w:rsid w:val="002F17FA"/>
    <w:rsid w:val="002F2CCC"/>
    <w:rsid w:val="002F3829"/>
    <w:rsid w:val="002F3864"/>
    <w:rsid w:val="002F5236"/>
    <w:rsid w:val="002F59C6"/>
    <w:rsid w:val="002F6582"/>
    <w:rsid w:val="002F67F9"/>
    <w:rsid w:val="002F72EF"/>
    <w:rsid w:val="003013AD"/>
    <w:rsid w:val="00302709"/>
    <w:rsid w:val="00302748"/>
    <w:rsid w:val="003039E9"/>
    <w:rsid w:val="0030489B"/>
    <w:rsid w:val="00305C51"/>
    <w:rsid w:val="00306524"/>
    <w:rsid w:val="003072B3"/>
    <w:rsid w:val="003077CC"/>
    <w:rsid w:val="00311394"/>
    <w:rsid w:val="0031191B"/>
    <w:rsid w:val="00312945"/>
    <w:rsid w:val="003138D8"/>
    <w:rsid w:val="00313B7B"/>
    <w:rsid w:val="003146A7"/>
    <w:rsid w:val="00315D8B"/>
    <w:rsid w:val="0031602F"/>
    <w:rsid w:val="003161AB"/>
    <w:rsid w:val="00317C62"/>
    <w:rsid w:val="003248B4"/>
    <w:rsid w:val="00324C1B"/>
    <w:rsid w:val="00324F04"/>
    <w:rsid w:val="003252AD"/>
    <w:rsid w:val="00325424"/>
    <w:rsid w:val="003256AB"/>
    <w:rsid w:val="00325D35"/>
    <w:rsid w:val="00326529"/>
    <w:rsid w:val="003269AF"/>
    <w:rsid w:val="00326A3C"/>
    <w:rsid w:val="0032706B"/>
    <w:rsid w:val="0032758F"/>
    <w:rsid w:val="003276DC"/>
    <w:rsid w:val="00327E8D"/>
    <w:rsid w:val="00332DAB"/>
    <w:rsid w:val="00333174"/>
    <w:rsid w:val="0033579C"/>
    <w:rsid w:val="00335D73"/>
    <w:rsid w:val="0033636C"/>
    <w:rsid w:val="003401B2"/>
    <w:rsid w:val="00340BAC"/>
    <w:rsid w:val="00341D78"/>
    <w:rsid w:val="00341D80"/>
    <w:rsid w:val="00342037"/>
    <w:rsid w:val="00342519"/>
    <w:rsid w:val="00343084"/>
    <w:rsid w:val="00344AB1"/>
    <w:rsid w:val="00344C94"/>
    <w:rsid w:val="00345545"/>
    <w:rsid w:val="00346961"/>
    <w:rsid w:val="00351034"/>
    <w:rsid w:val="00351238"/>
    <w:rsid w:val="00351B20"/>
    <w:rsid w:val="003526DF"/>
    <w:rsid w:val="003527B3"/>
    <w:rsid w:val="0035470C"/>
    <w:rsid w:val="00354902"/>
    <w:rsid w:val="00354982"/>
    <w:rsid w:val="003557D5"/>
    <w:rsid w:val="00355AA3"/>
    <w:rsid w:val="003565BA"/>
    <w:rsid w:val="0035737D"/>
    <w:rsid w:val="00360291"/>
    <w:rsid w:val="00360AC9"/>
    <w:rsid w:val="00360D81"/>
    <w:rsid w:val="00361449"/>
    <w:rsid w:val="00361490"/>
    <w:rsid w:val="003617AC"/>
    <w:rsid w:val="00363631"/>
    <w:rsid w:val="00363666"/>
    <w:rsid w:val="003636FA"/>
    <w:rsid w:val="00363D26"/>
    <w:rsid w:val="00363DB5"/>
    <w:rsid w:val="0036415A"/>
    <w:rsid w:val="00365284"/>
    <w:rsid w:val="00366585"/>
    <w:rsid w:val="00367350"/>
    <w:rsid w:val="0036792A"/>
    <w:rsid w:val="00367943"/>
    <w:rsid w:val="00370AB2"/>
    <w:rsid w:val="003714E6"/>
    <w:rsid w:val="00371AAD"/>
    <w:rsid w:val="00371CD2"/>
    <w:rsid w:val="00371D7C"/>
    <w:rsid w:val="0037270E"/>
    <w:rsid w:val="00373064"/>
    <w:rsid w:val="00373121"/>
    <w:rsid w:val="003757A1"/>
    <w:rsid w:val="00375FA0"/>
    <w:rsid w:val="00377290"/>
    <w:rsid w:val="00377CEF"/>
    <w:rsid w:val="00380B12"/>
    <w:rsid w:val="00381669"/>
    <w:rsid w:val="00381DE8"/>
    <w:rsid w:val="00382306"/>
    <w:rsid w:val="00382CE7"/>
    <w:rsid w:val="00382E45"/>
    <w:rsid w:val="00383187"/>
    <w:rsid w:val="0038359D"/>
    <w:rsid w:val="00384478"/>
    <w:rsid w:val="00386C31"/>
    <w:rsid w:val="00386E2D"/>
    <w:rsid w:val="003877E5"/>
    <w:rsid w:val="00387E73"/>
    <w:rsid w:val="003901C6"/>
    <w:rsid w:val="0039171C"/>
    <w:rsid w:val="003918EA"/>
    <w:rsid w:val="00393231"/>
    <w:rsid w:val="003937AA"/>
    <w:rsid w:val="00393CAD"/>
    <w:rsid w:val="00395618"/>
    <w:rsid w:val="003959E2"/>
    <w:rsid w:val="00395FAF"/>
    <w:rsid w:val="003960B6"/>
    <w:rsid w:val="003965BA"/>
    <w:rsid w:val="003A0C2F"/>
    <w:rsid w:val="003A2CBB"/>
    <w:rsid w:val="003A3800"/>
    <w:rsid w:val="003A4EB9"/>
    <w:rsid w:val="003A4FE3"/>
    <w:rsid w:val="003A6943"/>
    <w:rsid w:val="003A6B45"/>
    <w:rsid w:val="003A6E08"/>
    <w:rsid w:val="003A761E"/>
    <w:rsid w:val="003B1209"/>
    <w:rsid w:val="003B1EF4"/>
    <w:rsid w:val="003B2526"/>
    <w:rsid w:val="003B31CF"/>
    <w:rsid w:val="003B3843"/>
    <w:rsid w:val="003B40C9"/>
    <w:rsid w:val="003B4A93"/>
    <w:rsid w:val="003B4EF6"/>
    <w:rsid w:val="003B66AD"/>
    <w:rsid w:val="003B7276"/>
    <w:rsid w:val="003B789C"/>
    <w:rsid w:val="003B796C"/>
    <w:rsid w:val="003B7FC3"/>
    <w:rsid w:val="003C0107"/>
    <w:rsid w:val="003C04FF"/>
    <w:rsid w:val="003C1703"/>
    <w:rsid w:val="003C358F"/>
    <w:rsid w:val="003C3888"/>
    <w:rsid w:val="003C3A2E"/>
    <w:rsid w:val="003C3F44"/>
    <w:rsid w:val="003C453C"/>
    <w:rsid w:val="003C64C0"/>
    <w:rsid w:val="003C7404"/>
    <w:rsid w:val="003D086B"/>
    <w:rsid w:val="003D1F41"/>
    <w:rsid w:val="003D30B8"/>
    <w:rsid w:val="003D3C65"/>
    <w:rsid w:val="003D5061"/>
    <w:rsid w:val="003D5158"/>
    <w:rsid w:val="003D6804"/>
    <w:rsid w:val="003D70B8"/>
    <w:rsid w:val="003E17BF"/>
    <w:rsid w:val="003E1AD6"/>
    <w:rsid w:val="003E2573"/>
    <w:rsid w:val="003E2B69"/>
    <w:rsid w:val="003E3B7B"/>
    <w:rsid w:val="003E54BA"/>
    <w:rsid w:val="003E5E6C"/>
    <w:rsid w:val="003E64FE"/>
    <w:rsid w:val="003E6D49"/>
    <w:rsid w:val="003F0094"/>
    <w:rsid w:val="003F03CF"/>
    <w:rsid w:val="003F1C83"/>
    <w:rsid w:val="003F2C80"/>
    <w:rsid w:val="003F3281"/>
    <w:rsid w:val="003F342A"/>
    <w:rsid w:val="003F3E90"/>
    <w:rsid w:val="003F4458"/>
    <w:rsid w:val="003F5663"/>
    <w:rsid w:val="003F6055"/>
    <w:rsid w:val="003F6467"/>
    <w:rsid w:val="003F64FC"/>
    <w:rsid w:val="003F6E67"/>
    <w:rsid w:val="00400F3F"/>
    <w:rsid w:val="00400F4B"/>
    <w:rsid w:val="00400F6B"/>
    <w:rsid w:val="004014EF"/>
    <w:rsid w:val="004033AC"/>
    <w:rsid w:val="00403808"/>
    <w:rsid w:val="00403F0C"/>
    <w:rsid w:val="00403F4B"/>
    <w:rsid w:val="004051FE"/>
    <w:rsid w:val="0040555E"/>
    <w:rsid w:val="00405B58"/>
    <w:rsid w:val="00406019"/>
    <w:rsid w:val="00406BA1"/>
    <w:rsid w:val="00411A32"/>
    <w:rsid w:val="004129B9"/>
    <w:rsid w:val="004133C2"/>
    <w:rsid w:val="00415016"/>
    <w:rsid w:val="004152DB"/>
    <w:rsid w:val="00416430"/>
    <w:rsid w:val="00417DCD"/>
    <w:rsid w:val="00420B27"/>
    <w:rsid w:val="004216B7"/>
    <w:rsid w:val="00421B53"/>
    <w:rsid w:val="00422213"/>
    <w:rsid w:val="004225F4"/>
    <w:rsid w:val="00422A54"/>
    <w:rsid w:val="004231A6"/>
    <w:rsid w:val="004239AB"/>
    <w:rsid w:val="00423D57"/>
    <w:rsid w:val="00424309"/>
    <w:rsid w:val="0042583C"/>
    <w:rsid w:val="00425AF1"/>
    <w:rsid w:val="00426174"/>
    <w:rsid w:val="004262FD"/>
    <w:rsid w:val="00426B9F"/>
    <w:rsid w:val="004275AA"/>
    <w:rsid w:val="00430188"/>
    <w:rsid w:val="00431409"/>
    <w:rsid w:val="004316B6"/>
    <w:rsid w:val="00432742"/>
    <w:rsid w:val="00432854"/>
    <w:rsid w:val="0043437A"/>
    <w:rsid w:val="00435535"/>
    <w:rsid w:val="00436611"/>
    <w:rsid w:val="00436A72"/>
    <w:rsid w:val="00437CCA"/>
    <w:rsid w:val="004425BF"/>
    <w:rsid w:val="00446017"/>
    <w:rsid w:val="00446A9A"/>
    <w:rsid w:val="00446FAA"/>
    <w:rsid w:val="004533A0"/>
    <w:rsid w:val="004539CF"/>
    <w:rsid w:val="00453AE2"/>
    <w:rsid w:val="004540FD"/>
    <w:rsid w:val="004552BC"/>
    <w:rsid w:val="00455A38"/>
    <w:rsid w:val="00455D05"/>
    <w:rsid w:val="00456445"/>
    <w:rsid w:val="004565C7"/>
    <w:rsid w:val="004566E6"/>
    <w:rsid w:val="00456726"/>
    <w:rsid w:val="00456D82"/>
    <w:rsid w:val="00457B09"/>
    <w:rsid w:val="0046258E"/>
    <w:rsid w:val="00464B14"/>
    <w:rsid w:val="004653A5"/>
    <w:rsid w:val="00467639"/>
    <w:rsid w:val="0047012A"/>
    <w:rsid w:val="00470E43"/>
    <w:rsid w:val="004710AC"/>
    <w:rsid w:val="00471289"/>
    <w:rsid w:val="00471B25"/>
    <w:rsid w:val="0047242D"/>
    <w:rsid w:val="0047289B"/>
    <w:rsid w:val="00472A5C"/>
    <w:rsid w:val="004730A8"/>
    <w:rsid w:val="00473268"/>
    <w:rsid w:val="00473358"/>
    <w:rsid w:val="00473972"/>
    <w:rsid w:val="00473B72"/>
    <w:rsid w:val="00474429"/>
    <w:rsid w:val="00475476"/>
    <w:rsid w:val="00475535"/>
    <w:rsid w:val="00475DE5"/>
    <w:rsid w:val="004772D8"/>
    <w:rsid w:val="00477429"/>
    <w:rsid w:val="00477663"/>
    <w:rsid w:val="004776C6"/>
    <w:rsid w:val="0047772F"/>
    <w:rsid w:val="0047795E"/>
    <w:rsid w:val="00477B37"/>
    <w:rsid w:val="00481CA9"/>
    <w:rsid w:val="0048233C"/>
    <w:rsid w:val="004829D5"/>
    <w:rsid w:val="00483DE4"/>
    <w:rsid w:val="00484A23"/>
    <w:rsid w:val="00484ED1"/>
    <w:rsid w:val="0048613C"/>
    <w:rsid w:val="00486F84"/>
    <w:rsid w:val="004872BB"/>
    <w:rsid w:val="0049083A"/>
    <w:rsid w:val="0049086E"/>
    <w:rsid w:val="00491BE1"/>
    <w:rsid w:val="00491DE1"/>
    <w:rsid w:val="00491ECD"/>
    <w:rsid w:val="004924F4"/>
    <w:rsid w:val="00492A8E"/>
    <w:rsid w:val="00493230"/>
    <w:rsid w:val="004937D2"/>
    <w:rsid w:val="00494BA4"/>
    <w:rsid w:val="00495B80"/>
    <w:rsid w:val="00495EF5"/>
    <w:rsid w:val="004A07A3"/>
    <w:rsid w:val="004A0B3C"/>
    <w:rsid w:val="004A1B8A"/>
    <w:rsid w:val="004A1E57"/>
    <w:rsid w:val="004A23A6"/>
    <w:rsid w:val="004A2692"/>
    <w:rsid w:val="004A29B4"/>
    <w:rsid w:val="004A3353"/>
    <w:rsid w:val="004A3D6A"/>
    <w:rsid w:val="004A429B"/>
    <w:rsid w:val="004A4539"/>
    <w:rsid w:val="004A56F2"/>
    <w:rsid w:val="004A63AF"/>
    <w:rsid w:val="004A66C5"/>
    <w:rsid w:val="004A698C"/>
    <w:rsid w:val="004A6DEB"/>
    <w:rsid w:val="004A7A88"/>
    <w:rsid w:val="004B0A29"/>
    <w:rsid w:val="004B1692"/>
    <w:rsid w:val="004B1F65"/>
    <w:rsid w:val="004B2B34"/>
    <w:rsid w:val="004B3006"/>
    <w:rsid w:val="004B31EF"/>
    <w:rsid w:val="004B49EB"/>
    <w:rsid w:val="004B56FF"/>
    <w:rsid w:val="004B58F6"/>
    <w:rsid w:val="004B6A27"/>
    <w:rsid w:val="004C0876"/>
    <w:rsid w:val="004C0F2A"/>
    <w:rsid w:val="004C23EA"/>
    <w:rsid w:val="004C373B"/>
    <w:rsid w:val="004C381C"/>
    <w:rsid w:val="004C39DC"/>
    <w:rsid w:val="004C493B"/>
    <w:rsid w:val="004C51B4"/>
    <w:rsid w:val="004C5FB2"/>
    <w:rsid w:val="004D03D5"/>
    <w:rsid w:val="004D08B1"/>
    <w:rsid w:val="004D0EC8"/>
    <w:rsid w:val="004D1660"/>
    <w:rsid w:val="004D26CA"/>
    <w:rsid w:val="004D3273"/>
    <w:rsid w:val="004D3C5F"/>
    <w:rsid w:val="004D4391"/>
    <w:rsid w:val="004D44F0"/>
    <w:rsid w:val="004D4B46"/>
    <w:rsid w:val="004D4EC9"/>
    <w:rsid w:val="004D5153"/>
    <w:rsid w:val="004D568E"/>
    <w:rsid w:val="004D5ABD"/>
    <w:rsid w:val="004D62E2"/>
    <w:rsid w:val="004D6782"/>
    <w:rsid w:val="004D7AE1"/>
    <w:rsid w:val="004D7BD7"/>
    <w:rsid w:val="004E050F"/>
    <w:rsid w:val="004E1429"/>
    <w:rsid w:val="004E1E40"/>
    <w:rsid w:val="004E1F89"/>
    <w:rsid w:val="004E2490"/>
    <w:rsid w:val="004E25E8"/>
    <w:rsid w:val="004E3397"/>
    <w:rsid w:val="004E3E1B"/>
    <w:rsid w:val="004E411E"/>
    <w:rsid w:val="004E4567"/>
    <w:rsid w:val="004E5562"/>
    <w:rsid w:val="004E67E2"/>
    <w:rsid w:val="004E75BE"/>
    <w:rsid w:val="004E785E"/>
    <w:rsid w:val="004E7B98"/>
    <w:rsid w:val="004F072F"/>
    <w:rsid w:val="004F082D"/>
    <w:rsid w:val="004F27D6"/>
    <w:rsid w:val="004F29DF"/>
    <w:rsid w:val="004F391E"/>
    <w:rsid w:val="004F3E30"/>
    <w:rsid w:val="004F3FEB"/>
    <w:rsid w:val="004F4907"/>
    <w:rsid w:val="004F49DA"/>
    <w:rsid w:val="004F73A3"/>
    <w:rsid w:val="0050075E"/>
    <w:rsid w:val="00500DE2"/>
    <w:rsid w:val="005012D8"/>
    <w:rsid w:val="005016E7"/>
    <w:rsid w:val="00501757"/>
    <w:rsid w:val="00501BE4"/>
    <w:rsid w:val="0050245D"/>
    <w:rsid w:val="00502C6B"/>
    <w:rsid w:val="0050322E"/>
    <w:rsid w:val="0050324C"/>
    <w:rsid w:val="00504869"/>
    <w:rsid w:val="00504D35"/>
    <w:rsid w:val="005057DB"/>
    <w:rsid w:val="0050584C"/>
    <w:rsid w:val="00505BA7"/>
    <w:rsid w:val="005069D7"/>
    <w:rsid w:val="00507557"/>
    <w:rsid w:val="005078CF"/>
    <w:rsid w:val="00507C2D"/>
    <w:rsid w:val="00510621"/>
    <w:rsid w:val="00510721"/>
    <w:rsid w:val="00511B87"/>
    <w:rsid w:val="00513CB6"/>
    <w:rsid w:val="0051406B"/>
    <w:rsid w:val="0051481E"/>
    <w:rsid w:val="00514B0A"/>
    <w:rsid w:val="00515F30"/>
    <w:rsid w:val="005200B7"/>
    <w:rsid w:val="005202D7"/>
    <w:rsid w:val="00520EE0"/>
    <w:rsid w:val="00521A11"/>
    <w:rsid w:val="00522931"/>
    <w:rsid w:val="00524F69"/>
    <w:rsid w:val="00525B32"/>
    <w:rsid w:val="00525D6A"/>
    <w:rsid w:val="00526069"/>
    <w:rsid w:val="00526711"/>
    <w:rsid w:val="005274EA"/>
    <w:rsid w:val="00527A5F"/>
    <w:rsid w:val="00527DB8"/>
    <w:rsid w:val="00530389"/>
    <w:rsid w:val="005309E0"/>
    <w:rsid w:val="00531E61"/>
    <w:rsid w:val="00532625"/>
    <w:rsid w:val="0053516D"/>
    <w:rsid w:val="005357B3"/>
    <w:rsid w:val="00535F72"/>
    <w:rsid w:val="00536126"/>
    <w:rsid w:val="005366F4"/>
    <w:rsid w:val="00536746"/>
    <w:rsid w:val="00536923"/>
    <w:rsid w:val="00542C3E"/>
    <w:rsid w:val="005432FA"/>
    <w:rsid w:val="00544B87"/>
    <w:rsid w:val="0054514E"/>
    <w:rsid w:val="00545D32"/>
    <w:rsid w:val="0054670D"/>
    <w:rsid w:val="00546AD9"/>
    <w:rsid w:val="005474C2"/>
    <w:rsid w:val="00547EA4"/>
    <w:rsid w:val="0055261D"/>
    <w:rsid w:val="00553025"/>
    <w:rsid w:val="0055356A"/>
    <w:rsid w:val="005546D9"/>
    <w:rsid w:val="0055517A"/>
    <w:rsid w:val="005555AB"/>
    <w:rsid w:val="00556E47"/>
    <w:rsid w:val="00556F18"/>
    <w:rsid w:val="0055714F"/>
    <w:rsid w:val="00557631"/>
    <w:rsid w:val="005578B2"/>
    <w:rsid w:val="00560141"/>
    <w:rsid w:val="005602D4"/>
    <w:rsid w:val="0056066F"/>
    <w:rsid w:val="00560F89"/>
    <w:rsid w:val="0056158E"/>
    <w:rsid w:val="005623AD"/>
    <w:rsid w:val="00563EC9"/>
    <w:rsid w:val="00566E19"/>
    <w:rsid w:val="005670B1"/>
    <w:rsid w:val="005676A9"/>
    <w:rsid w:val="005676B3"/>
    <w:rsid w:val="00567985"/>
    <w:rsid w:val="00567A07"/>
    <w:rsid w:val="00567B70"/>
    <w:rsid w:val="0057088D"/>
    <w:rsid w:val="00570C00"/>
    <w:rsid w:val="00571085"/>
    <w:rsid w:val="00571EF8"/>
    <w:rsid w:val="0057296B"/>
    <w:rsid w:val="0057395E"/>
    <w:rsid w:val="00573977"/>
    <w:rsid w:val="0057479D"/>
    <w:rsid w:val="00575FF3"/>
    <w:rsid w:val="00576317"/>
    <w:rsid w:val="00577292"/>
    <w:rsid w:val="00577D14"/>
    <w:rsid w:val="00580364"/>
    <w:rsid w:val="00580E11"/>
    <w:rsid w:val="0058108B"/>
    <w:rsid w:val="0058115E"/>
    <w:rsid w:val="005813E5"/>
    <w:rsid w:val="00581B52"/>
    <w:rsid w:val="00582863"/>
    <w:rsid w:val="00582FF0"/>
    <w:rsid w:val="00583ABA"/>
    <w:rsid w:val="00583F6E"/>
    <w:rsid w:val="00584507"/>
    <w:rsid w:val="00584645"/>
    <w:rsid w:val="00585826"/>
    <w:rsid w:val="00585E76"/>
    <w:rsid w:val="00587799"/>
    <w:rsid w:val="00587979"/>
    <w:rsid w:val="00590AC1"/>
    <w:rsid w:val="00592A57"/>
    <w:rsid w:val="0059316E"/>
    <w:rsid w:val="005932D3"/>
    <w:rsid w:val="00593743"/>
    <w:rsid w:val="00593F41"/>
    <w:rsid w:val="00594F46"/>
    <w:rsid w:val="0059616A"/>
    <w:rsid w:val="00596A20"/>
    <w:rsid w:val="00596FBC"/>
    <w:rsid w:val="00597CBE"/>
    <w:rsid w:val="00597E69"/>
    <w:rsid w:val="005A028C"/>
    <w:rsid w:val="005A0355"/>
    <w:rsid w:val="005A16C6"/>
    <w:rsid w:val="005A1954"/>
    <w:rsid w:val="005A1A9A"/>
    <w:rsid w:val="005A23D7"/>
    <w:rsid w:val="005A2599"/>
    <w:rsid w:val="005A2BCF"/>
    <w:rsid w:val="005A2C11"/>
    <w:rsid w:val="005A4217"/>
    <w:rsid w:val="005A4567"/>
    <w:rsid w:val="005A4585"/>
    <w:rsid w:val="005A4F20"/>
    <w:rsid w:val="005A5472"/>
    <w:rsid w:val="005A573E"/>
    <w:rsid w:val="005A654E"/>
    <w:rsid w:val="005A7280"/>
    <w:rsid w:val="005B0F5A"/>
    <w:rsid w:val="005B13D8"/>
    <w:rsid w:val="005B18BB"/>
    <w:rsid w:val="005B258D"/>
    <w:rsid w:val="005B28AF"/>
    <w:rsid w:val="005B295B"/>
    <w:rsid w:val="005B2C39"/>
    <w:rsid w:val="005B323B"/>
    <w:rsid w:val="005B3671"/>
    <w:rsid w:val="005B3D3B"/>
    <w:rsid w:val="005B56C3"/>
    <w:rsid w:val="005B63D8"/>
    <w:rsid w:val="005C0AAD"/>
    <w:rsid w:val="005C0AEE"/>
    <w:rsid w:val="005C1B3F"/>
    <w:rsid w:val="005C1CB7"/>
    <w:rsid w:val="005C1CDC"/>
    <w:rsid w:val="005C21BE"/>
    <w:rsid w:val="005C2450"/>
    <w:rsid w:val="005C3365"/>
    <w:rsid w:val="005C34EF"/>
    <w:rsid w:val="005C47CE"/>
    <w:rsid w:val="005C6D6D"/>
    <w:rsid w:val="005D05A8"/>
    <w:rsid w:val="005D26F3"/>
    <w:rsid w:val="005D2A31"/>
    <w:rsid w:val="005D2F45"/>
    <w:rsid w:val="005D317F"/>
    <w:rsid w:val="005D32BD"/>
    <w:rsid w:val="005D369E"/>
    <w:rsid w:val="005D3D0A"/>
    <w:rsid w:val="005D4A95"/>
    <w:rsid w:val="005D6105"/>
    <w:rsid w:val="005D6D7D"/>
    <w:rsid w:val="005D7B59"/>
    <w:rsid w:val="005E02C3"/>
    <w:rsid w:val="005E04C0"/>
    <w:rsid w:val="005E11B7"/>
    <w:rsid w:val="005E150E"/>
    <w:rsid w:val="005E3AFB"/>
    <w:rsid w:val="005E5209"/>
    <w:rsid w:val="005E61A6"/>
    <w:rsid w:val="005E6FA9"/>
    <w:rsid w:val="005E75D1"/>
    <w:rsid w:val="005F0336"/>
    <w:rsid w:val="005F121A"/>
    <w:rsid w:val="005F1597"/>
    <w:rsid w:val="005F1B49"/>
    <w:rsid w:val="005F378E"/>
    <w:rsid w:val="005F3AF5"/>
    <w:rsid w:val="005F402D"/>
    <w:rsid w:val="005F4CFC"/>
    <w:rsid w:val="005F54E8"/>
    <w:rsid w:val="005F5D64"/>
    <w:rsid w:val="005F6D42"/>
    <w:rsid w:val="005F7876"/>
    <w:rsid w:val="00600954"/>
    <w:rsid w:val="00600B93"/>
    <w:rsid w:val="00600E39"/>
    <w:rsid w:val="006028C8"/>
    <w:rsid w:val="006029CE"/>
    <w:rsid w:val="006032FE"/>
    <w:rsid w:val="0060334F"/>
    <w:rsid w:val="006037C1"/>
    <w:rsid w:val="00603BD8"/>
    <w:rsid w:val="00603F9D"/>
    <w:rsid w:val="00604951"/>
    <w:rsid w:val="00605582"/>
    <w:rsid w:val="00605A1A"/>
    <w:rsid w:val="006062BB"/>
    <w:rsid w:val="00606502"/>
    <w:rsid w:val="00607D30"/>
    <w:rsid w:val="00610BCA"/>
    <w:rsid w:val="00610E0F"/>
    <w:rsid w:val="006113F2"/>
    <w:rsid w:val="00611C64"/>
    <w:rsid w:val="006120B5"/>
    <w:rsid w:val="0061269A"/>
    <w:rsid w:val="006126E0"/>
    <w:rsid w:val="006128F2"/>
    <w:rsid w:val="00612D29"/>
    <w:rsid w:val="00612D4A"/>
    <w:rsid w:val="00613440"/>
    <w:rsid w:val="00613651"/>
    <w:rsid w:val="00613654"/>
    <w:rsid w:val="00614264"/>
    <w:rsid w:val="0061522F"/>
    <w:rsid w:val="006176A2"/>
    <w:rsid w:val="00617B50"/>
    <w:rsid w:val="00617BFF"/>
    <w:rsid w:val="0062048D"/>
    <w:rsid w:val="006208F9"/>
    <w:rsid w:val="006240A1"/>
    <w:rsid w:val="00624F23"/>
    <w:rsid w:val="00626B7F"/>
    <w:rsid w:val="00627C63"/>
    <w:rsid w:val="00630509"/>
    <w:rsid w:val="0063202C"/>
    <w:rsid w:val="00632337"/>
    <w:rsid w:val="00632787"/>
    <w:rsid w:val="00632E2D"/>
    <w:rsid w:val="00633049"/>
    <w:rsid w:val="00633093"/>
    <w:rsid w:val="006333BB"/>
    <w:rsid w:val="006358F3"/>
    <w:rsid w:val="006367C3"/>
    <w:rsid w:val="00636DDE"/>
    <w:rsid w:val="006371C0"/>
    <w:rsid w:val="00640534"/>
    <w:rsid w:val="0064092E"/>
    <w:rsid w:val="006410CB"/>
    <w:rsid w:val="00641304"/>
    <w:rsid w:val="00643029"/>
    <w:rsid w:val="00643905"/>
    <w:rsid w:val="00643CBE"/>
    <w:rsid w:val="00644B5D"/>
    <w:rsid w:val="00645DF1"/>
    <w:rsid w:val="0064639D"/>
    <w:rsid w:val="00650450"/>
    <w:rsid w:val="00650D8F"/>
    <w:rsid w:val="00650DF0"/>
    <w:rsid w:val="00651A80"/>
    <w:rsid w:val="00651F55"/>
    <w:rsid w:val="006523A9"/>
    <w:rsid w:val="00652559"/>
    <w:rsid w:val="006528BA"/>
    <w:rsid w:val="00652B69"/>
    <w:rsid w:val="00653F02"/>
    <w:rsid w:val="00653F18"/>
    <w:rsid w:val="00654504"/>
    <w:rsid w:val="00654E02"/>
    <w:rsid w:val="00656B37"/>
    <w:rsid w:val="00657E6F"/>
    <w:rsid w:val="006606CF"/>
    <w:rsid w:val="006614D5"/>
    <w:rsid w:val="00661AC3"/>
    <w:rsid w:val="0066349C"/>
    <w:rsid w:val="00665D26"/>
    <w:rsid w:val="00666723"/>
    <w:rsid w:val="00666AFD"/>
    <w:rsid w:val="00672097"/>
    <w:rsid w:val="00672262"/>
    <w:rsid w:val="00673477"/>
    <w:rsid w:val="006750A4"/>
    <w:rsid w:val="00675C7C"/>
    <w:rsid w:val="00675E47"/>
    <w:rsid w:val="00675EFE"/>
    <w:rsid w:val="0067652E"/>
    <w:rsid w:val="00677AD6"/>
    <w:rsid w:val="00677DCC"/>
    <w:rsid w:val="00680085"/>
    <w:rsid w:val="006808CB"/>
    <w:rsid w:val="00680D79"/>
    <w:rsid w:val="00681BA3"/>
    <w:rsid w:val="00683172"/>
    <w:rsid w:val="00684CA9"/>
    <w:rsid w:val="00686351"/>
    <w:rsid w:val="0068729D"/>
    <w:rsid w:val="00687455"/>
    <w:rsid w:val="00687C85"/>
    <w:rsid w:val="00690BFF"/>
    <w:rsid w:val="00690C85"/>
    <w:rsid w:val="00690F48"/>
    <w:rsid w:val="006911BA"/>
    <w:rsid w:val="00691C30"/>
    <w:rsid w:val="00691FAB"/>
    <w:rsid w:val="00692515"/>
    <w:rsid w:val="00692523"/>
    <w:rsid w:val="00692C67"/>
    <w:rsid w:val="00692D6A"/>
    <w:rsid w:val="006935C8"/>
    <w:rsid w:val="006935EB"/>
    <w:rsid w:val="00693EEF"/>
    <w:rsid w:val="00693EF9"/>
    <w:rsid w:val="00695640"/>
    <w:rsid w:val="006957F1"/>
    <w:rsid w:val="0069657A"/>
    <w:rsid w:val="00696B4E"/>
    <w:rsid w:val="00696C44"/>
    <w:rsid w:val="00697979"/>
    <w:rsid w:val="006A0035"/>
    <w:rsid w:val="006A00F8"/>
    <w:rsid w:val="006A1C8D"/>
    <w:rsid w:val="006A22AC"/>
    <w:rsid w:val="006A26AF"/>
    <w:rsid w:val="006A2EE1"/>
    <w:rsid w:val="006A304A"/>
    <w:rsid w:val="006A3B53"/>
    <w:rsid w:val="006A3CB7"/>
    <w:rsid w:val="006A3CEB"/>
    <w:rsid w:val="006A3F3C"/>
    <w:rsid w:val="006A49AE"/>
    <w:rsid w:val="006A519D"/>
    <w:rsid w:val="006A66B9"/>
    <w:rsid w:val="006A6F69"/>
    <w:rsid w:val="006A74B3"/>
    <w:rsid w:val="006A7814"/>
    <w:rsid w:val="006A7E05"/>
    <w:rsid w:val="006B0BDC"/>
    <w:rsid w:val="006B15FA"/>
    <w:rsid w:val="006B1650"/>
    <w:rsid w:val="006B1E94"/>
    <w:rsid w:val="006B4D26"/>
    <w:rsid w:val="006B4D4D"/>
    <w:rsid w:val="006B4FA5"/>
    <w:rsid w:val="006B53FF"/>
    <w:rsid w:val="006B61C6"/>
    <w:rsid w:val="006B6394"/>
    <w:rsid w:val="006B650A"/>
    <w:rsid w:val="006C0601"/>
    <w:rsid w:val="006C0C5F"/>
    <w:rsid w:val="006C1370"/>
    <w:rsid w:val="006C140F"/>
    <w:rsid w:val="006C1978"/>
    <w:rsid w:val="006C1FB7"/>
    <w:rsid w:val="006C2575"/>
    <w:rsid w:val="006C430B"/>
    <w:rsid w:val="006C58B2"/>
    <w:rsid w:val="006C73D7"/>
    <w:rsid w:val="006C7448"/>
    <w:rsid w:val="006C7719"/>
    <w:rsid w:val="006D0A61"/>
    <w:rsid w:val="006D1697"/>
    <w:rsid w:val="006D2697"/>
    <w:rsid w:val="006D39FF"/>
    <w:rsid w:val="006D3FEE"/>
    <w:rsid w:val="006D3FF0"/>
    <w:rsid w:val="006D4959"/>
    <w:rsid w:val="006D498F"/>
    <w:rsid w:val="006D4A0C"/>
    <w:rsid w:val="006D4D28"/>
    <w:rsid w:val="006D6C0E"/>
    <w:rsid w:val="006D704D"/>
    <w:rsid w:val="006D7640"/>
    <w:rsid w:val="006E0B8F"/>
    <w:rsid w:val="006E16D6"/>
    <w:rsid w:val="006E2C95"/>
    <w:rsid w:val="006E3F55"/>
    <w:rsid w:val="006E4E05"/>
    <w:rsid w:val="006E4E63"/>
    <w:rsid w:val="006E52DB"/>
    <w:rsid w:val="006E5EEB"/>
    <w:rsid w:val="006E712F"/>
    <w:rsid w:val="006E74F7"/>
    <w:rsid w:val="006E7751"/>
    <w:rsid w:val="006F0929"/>
    <w:rsid w:val="006F0AA8"/>
    <w:rsid w:val="006F1429"/>
    <w:rsid w:val="006F22CE"/>
    <w:rsid w:val="006F2F2D"/>
    <w:rsid w:val="006F3370"/>
    <w:rsid w:val="006F3A8F"/>
    <w:rsid w:val="006F4DBB"/>
    <w:rsid w:val="006F556A"/>
    <w:rsid w:val="006F7390"/>
    <w:rsid w:val="006F791F"/>
    <w:rsid w:val="00700C77"/>
    <w:rsid w:val="00701EC6"/>
    <w:rsid w:val="00701F73"/>
    <w:rsid w:val="00703EE4"/>
    <w:rsid w:val="00704311"/>
    <w:rsid w:val="00704377"/>
    <w:rsid w:val="0070451F"/>
    <w:rsid w:val="007045D0"/>
    <w:rsid w:val="007051D4"/>
    <w:rsid w:val="007053F7"/>
    <w:rsid w:val="00706E06"/>
    <w:rsid w:val="00710E1D"/>
    <w:rsid w:val="00711B48"/>
    <w:rsid w:val="00711B9A"/>
    <w:rsid w:val="0071344F"/>
    <w:rsid w:val="007144AA"/>
    <w:rsid w:val="00714A0C"/>
    <w:rsid w:val="00714C2F"/>
    <w:rsid w:val="007153F8"/>
    <w:rsid w:val="00715985"/>
    <w:rsid w:val="00715991"/>
    <w:rsid w:val="007175BF"/>
    <w:rsid w:val="0071780F"/>
    <w:rsid w:val="00720543"/>
    <w:rsid w:val="00722120"/>
    <w:rsid w:val="0072250D"/>
    <w:rsid w:val="007229EB"/>
    <w:rsid w:val="00722CD3"/>
    <w:rsid w:val="0072410E"/>
    <w:rsid w:val="007248E3"/>
    <w:rsid w:val="00725060"/>
    <w:rsid w:val="00725DFE"/>
    <w:rsid w:val="00725EE2"/>
    <w:rsid w:val="007262AD"/>
    <w:rsid w:val="0072636F"/>
    <w:rsid w:val="00726931"/>
    <w:rsid w:val="00726E2B"/>
    <w:rsid w:val="00727505"/>
    <w:rsid w:val="00731240"/>
    <w:rsid w:val="00731EBF"/>
    <w:rsid w:val="00733B22"/>
    <w:rsid w:val="00734739"/>
    <w:rsid w:val="007349D4"/>
    <w:rsid w:val="007356E7"/>
    <w:rsid w:val="007356F6"/>
    <w:rsid w:val="00736201"/>
    <w:rsid w:val="0073747C"/>
    <w:rsid w:val="00737DC3"/>
    <w:rsid w:val="0074101A"/>
    <w:rsid w:val="0074121F"/>
    <w:rsid w:val="00741F0D"/>
    <w:rsid w:val="007427CF"/>
    <w:rsid w:val="00743459"/>
    <w:rsid w:val="0074543E"/>
    <w:rsid w:val="007461FD"/>
    <w:rsid w:val="00746B5E"/>
    <w:rsid w:val="00750019"/>
    <w:rsid w:val="007514E9"/>
    <w:rsid w:val="00752539"/>
    <w:rsid w:val="007532AB"/>
    <w:rsid w:val="00753D53"/>
    <w:rsid w:val="007552DE"/>
    <w:rsid w:val="0075605D"/>
    <w:rsid w:val="00756B6B"/>
    <w:rsid w:val="007570CD"/>
    <w:rsid w:val="0075717E"/>
    <w:rsid w:val="007571AC"/>
    <w:rsid w:val="0076024A"/>
    <w:rsid w:val="007604F1"/>
    <w:rsid w:val="00760E94"/>
    <w:rsid w:val="00760FDA"/>
    <w:rsid w:val="007616F9"/>
    <w:rsid w:val="00761FCB"/>
    <w:rsid w:val="0076269B"/>
    <w:rsid w:val="007639FD"/>
    <w:rsid w:val="00763FE7"/>
    <w:rsid w:val="007658F5"/>
    <w:rsid w:val="00765AC4"/>
    <w:rsid w:val="0076683F"/>
    <w:rsid w:val="00766952"/>
    <w:rsid w:val="00770617"/>
    <w:rsid w:val="00770704"/>
    <w:rsid w:val="007714D5"/>
    <w:rsid w:val="007718AD"/>
    <w:rsid w:val="00772103"/>
    <w:rsid w:val="00772254"/>
    <w:rsid w:val="007747C1"/>
    <w:rsid w:val="00774816"/>
    <w:rsid w:val="00774EA0"/>
    <w:rsid w:val="00775359"/>
    <w:rsid w:val="00775A9A"/>
    <w:rsid w:val="0077637B"/>
    <w:rsid w:val="007764AA"/>
    <w:rsid w:val="00776A76"/>
    <w:rsid w:val="007800B5"/>
    <w:rsid w:val="007811DA"/>
    <w:rsid w:val="00781C76"/>
    <w:rsid w:val="00781DE1"/>
    <w:rsid w:val="0078214E"/>
    <w:rsid w:val="0078220B"/>
    <w:rsid w:val="007824CD"/>
    <w:rsid w:val="0078253F"/>
    <w:rsid w:val="007830CE"/>
    <w:rsid w:val="007833BA"/>
    <w:rsid w:val="0078344B"/>
    <w:rsid w:val="00784898"/>
    <w:rsid w:val="007854EB"/>
    <w:rsid w:val="00785D38"/>
    <w:rsid w:val="007861A9"/>
    <w:rsid w:val="00787647"/>
    <w:rsid w:val="00790A08"/>
    <w:rsid w:val="00790A15"/>
    <w:rsid w:val="00790A84"/>
    <w:rsid w:val="0079100D"/>
    <w:rsid w:val="0079253F"/>
    <w:rsid w:val="00792B8B"/>
    <w:rsid w:val="00792E07"/>
    <w:rsid w:val="00793757"/>
    <w:rsid w:val="0079406C"/>
    <w:rsid w:val="00794FC1"/>
    <w:rsid w:val="0079551B"/>
    <w:rsid w:val="00795AB8"/>
    <w:rsid w:val="007965C1"/>
    <w:rsid w:val="007967C3"/>
    <w:rsid w:val="00797DAA"/>
    <w:rsid w:val="007A0246"/>
    <w:rsid w:val="007A3582"/>
    <w:rsid w:val="007A37C5"/>
    <w:rsid w:val="007A57DB"/>
    <w:rsid w:val="007A628B"/>
    <w:rsid w:val="007A6C25"/>
    <w:rsid w:val="007B04C7"/>
    <w:rsid w:val="007B06AA"/>
    <w:rsid w:val="007B078A"/>
    <w:rsid w:val="007B11ED"/>
    <w:rsid w:val="007B1877"/>
    <w:rsid w:val="007B2200"/>
    <w:rsid w:val="007B2A0C"/>
    <w:rsid w:val="007B2DA2"/>
    <w:rsid w:val="007B3796"/>
    <w:rsid w:val="007B3AEC"/>
    <w:rsid w:val="007B4442"/>
    <w:rsid w:val="007B5661"/>
    <w:rsid w:val="007B650F"/>
    <w:rsid w:val="007B6946"/>
    <w:rsid w:val="007B6A1F"/>
    <w:rsid w:val="007B6A72"/>
    <w:rsid w:val="007B6B18"/>
    <w:rsid w:val="007C0283"/>
    <w:rsid w:val="007C0A40"/>
    <w:rsid w:val="007C1391"/>
    <w:rsid w:val="007C2258"/>
    <w:rsid w:val="007C2593"/>
    <w:rsid w:val="007C25A8"/>
    <w:rsid w:val="007C2AE1"/>
    <w:rsid w:val="007C312E"/>
    <w:rsid w:val="007C3F91"/>
    <w:rsid w:val="007C4164"/>
    <w:rsid w:val="007C433E"/>
    <w:rsid w:val="007C4B30"/>
    <w:rsid w:val="007C4F0C"/>
    <w:rsid w:val="007C539E"/>
    <w:rsid w:val="007C56D3"/>
    <w:rsid w:val="007C624E"/>
    <w:rsid w:val="007C6921"/>
    <w:rsid w:val="007C7414"/>
    <w:rsid w:val="007C7E64"/>
    <w:rsid w:val="007D00CE"/>
    <w:rsid w:val="007D0CBD"/>
    <w:rsid w:val="007D0E3C"/>
    <w:rsid w:val="007D1D83"/>
    <w:rsid w:val="007D1DCC"/>
    <w:rsid w:val="007D2BD8"/>
    <w:rsid w:val="007D2DC8"/>
    <w:rsid w:val="007D312C"/>
    <w:rsid w:val="007D32F0"/>
    <w:rsid w:val="007D343F"/>
    <w:rsid w:val="007D51FD"/>
    <w:rsid w:val="007D69DA"/>
    <w:rsid w:val="007D7046"/>
    <w:rsid w:val="007D7610"/>
    <w:rsid w:val="007E16B0"/>
    <w:rsid w:val="007E1C8E"/>
    <w:rsid w:val="007E1CC6"/>
    <w:rsid w:val="007E3D37"/>
    <w:rsid w:val="007E3E7F"/>
    <w:rsid w:val="007E40D0"/>
    <w:rsid w:val="007E437D"/>
    <w:rsid w:val="007E592A"/>
    <w:rsid w:val="007E5E0E"/>
    <w:rsid w:val="007E687B"/>
    <w:rsid w:val="007E71E9"/>
    <w:rsid w:val="007E7B79"/>
    <w:rsid w:val="007F00E3"/>
    <w:rsid w:val="007F1306"/>
    <w:rsid w:val="007F13E0"/>
    <w:rsid w:val="007F1912"/>
    <w:rsid w:val="007F2194"/>
    <w:rsid w:val="007F2DFB"/>
    <w:rsid w:val="007F3BC5"/>
    <w:rsid w:val="007F4F89"/>
    <w:rsid w:val="007F52FB"/>
    <w:rsid w:val="007F5E40"/>
    <w:rsid w:val="007F5EBD"/>
    <w:rsid w:val="007F7A03"/>
    <w:rsid w:val="00800E1B"/>
    <w:rsid w:val="00800E30"/>
    <w:rsid w:val="00800F0E"/>
    <w:rsid w:val="008013B2"/>
    <w:rsid w:val="0080175A"/>
    <w:rsid w:val="00801D1D"/>
    <w:rsid w:val="00802B3F"/>
    <w:rsid w:val="00802E30"/>
    <w:rsid w:val="0080323C"/>
    <w:rsid w:val="008034AB"/>
    <w:rsid w:val="008046E1"/>
    <w:rsid w:val="00804D5B"/>
    <w:rsid w:val="0080522A"/>
    <w:rsid w:val="00806954"/>
    <w:rsid w:val="00806C7A"/>
    <w:rsid w:val="00806E5E"/>
    <w:rsid w:val="00807E28"/>
    <w:rsid w:val="00810555"/>
    <w:rsid w:val="00810897"/>
    <w:rsid w:val="008109DF"/>
    <w:rsid w:val="0081119F"/>
    <w:rsid w:val="00811CF8"/>
    <w:rsid w:val="00813875"/>
    <w:rsid w:val="008141CF"/>
    <w:rsid w:val="00816FEF"/>
    <w:rsid w:val="0082000F"/>
    <w:rsid w:val="008201F4"/>
    <w:rsid w:val="0082207B"/>
    <w:rsid w:val="0082344B"/>
    <w:rsid w:val="00823ECF"/>
    <w:rsid w:val="00824163"/>
    <w:rsid w:val="00824B14"/>
    <w:rsid w:val="008251DC"/>
    <w:rsid w:val="00825208"/>
    <w:rsid w:val="00825361"/>
    <w:rsid w:val="008254D8"/>
    <w:rsid w:val="00825759"/>
    <w:rsid w:val="00825AE1"/>
    <w:rsid w:val="008264FA"/>
    <w:rsid w:val="00826672"/>
    <w:rsid w:val="0082695F"/>
    <w:rsid w:val="00830A40"/>
    <w:rsid w:val="0083105D"/>
    <w:rsid w:val="00831241"/>
    <w:rsid w:val="00831E70"/>
    <w:rsid w:val="008326D3"/>
    <w:rsid w:val="008327F1"/>
    <w:rsid w:val="0083309A"/>
    <w:rsid w:val="00834986"/>
    <w:rsid w:val="00834AF4"/>
    <w:rsid w:val="00834D48"/>
    <w:rsid w:val="008351BB"/>
    <w:rsid w:val="00835346"/>
    <w:rsid w:val="00840E3D"/>
    <w:rsid w:val="008410E6"/>
    <w:rsid w:val="0084143F"/>
    <w:rsid w:val="00841489"/>
    <w:rsid w:val="00841D3B"/>
    <w:rsid w:val="00841F48"/>
    <w:rsid w:val="008429CE"/>
    <w:rsid w:val="0084304F"/>
    <w:rsid w:val="00843E9A"/>
    <w:rsid w:val="0084446F"/>
    <w:rsid w:val="00844668"/>
    <w:rsid w:val="008451F2"/>
    <w:rsid w:val="00847003"/>
    <w:rsid w:val="0084720E"/>
    <w:rsid w:val="00847BB6"/>
    <w:rsid w:val="00847C9B"/>
    <w:rsid w:val="00850974"/>
    <w:rsid w:val="00851DCB"/>
    <w:rsid w:val="00851E37"/>
    <w:rsid w:val="00852F00"/>
    <w:rsid w:val="008537CC"/>
    <w:rsid w:val="00853E91"/>
    <w:rsid w:val="00854702"/>
    <w:rsid w:val="00856DD9"/>
    <w:rsid w:val="00856F73"/>
    <w:rsid w:val="00857876"/>
    <w:rsid w:val="00857D9C"/>
    <w:rsid w:val="0086070D"/>
    <w:rsid w:val="00860B70"/>
    <w:rsid w:val="00860B72"/>
    <w:rsid w:val="00861A7E"/>
    <w:rsid w:val="00861CB8"/>
    <w:rsid w:val="00862F0E"/>
    <w:rsid w:val="008630D5"/>
    <w:rsid w:val="00864519"/>
    <w:rsid w:val="00865767"/>
    <w:rsid w:val="008660DA"/>
    <w:rsid w:val="008705FA"/>
    <w:rsid w:val="008708A4"/>
    <w:rsid w:val="0087101B"/>
    <w:rsid w:val="008711F1"/>
    <w:rsid w:val="00872BC3"/>
    <w:rsid w:val="008732E6"/>
    <w:rsid w:val="00873BE1"/>
    <w:rsid w:val="00874E82"/>
    <w:rsid w:val="0087537C"/>
    <w:rsid w:val="0087568D"/>
    <w:rsid w:val="00875F69"/>
    <w:rsid w:val="008775A3"/>
    <w:rsid w:val="00877A26"/>
    <w:rsid w:val="00877ADC"/>
    <w:rsid w:val="0088057C"/>
    <w:rsid w:val="008810D4"/>
    <w:rsid w:val="00881815"/>
    <w:rsid w:val="00881E9C"/>
    <w:rsid w:val="00884127"/>
    <w:rsid w:val="0088528E"/>
    <w:rsid w:val="00885450"/>
    <w:rsid w:val="0088583E"/>
    <w:rsid w:val="0088601B"/>
    <w:rsid w:val="00890817"/>
    <w:rsid w:val="00890AA4"/>
    <w:rsid w:val="008914EB"/>
    <w:rsid w:val="0089162F"/>
    <w:rsid w:val="008922C9"/>
    <w:rsid w:val="008926A4"/>
    <w:rsid w:val="008926E6"/>
    <w:rsid w:val="00892989"/>
    <w:rsid w:val="00892D96"/>
    <w:rsid w:val="00893189"/>
    <w:rsid w:val="0089492E"/>
    <w:rsid w:val="00895EED"/>
    <w:rsid w:val="00896CE5"/>
    <w:rsid w:val="00897162"/>
    <w:rsid w:val="00897427"/>
    <w:rsid w:val="008974D5"/>
    <w:rsid w:val="00897DD7"/>
    <w:rsid w:val="00897DE1"/>
    <w:rsid w:val="008A08EB"/>
    <w:rsid w:val="008A0AEF"/>
    <w:rsid w:val="008A0CD6"/>
    <w:rsid w:val="008A13BD"/>
    <w:rsid w:val="008A1637"/>
    <w:rsid w:val="008A278C"/>
    <w:rsid w:val="008A2A5C"/>
    <w:rsid w:val="008A2A8E"/>
    <w:rsid w:val="008A3641"/>
    <w:rsid w:val="008A3B4B"/>
    <w:rsid w:val="008A49AF"/>
    <w:rsid w:val="008A5623"/>
    <w:rsid w:val="008A568B"/>
    <w:rsid w:val="008A63E7"/>
    <w:rsid w:val="008A77CC"/>
    <w:rsid w:val="008B3082"/>
    <w:rsid w:val="008B463A"/>
    <w:rsid w:val="008B4F74"/>
    <w:rsid w:val="008B58AE"/>
    <w:rsid w:val="008B5AC8"/>
    <w:rsid w:val="008B5C7E"/>
    <w:rsid w:val="008B5F2F"/>
    <w:rsid w:val="008B657B"/>
    <w:rsid w:val="008B6BA6"/>
    <w:rsid w:val="008B6D8A"/>
    <w:rsid w:val="008B71C9"/>
    <w:rsid w:val="008B7BCC"/>
    <w:rsid w:val="008C101A"/>
    <w:rsid w:val="008C212A"/>
    <w:rsid w:val="008C243C"/>
    <w:rsid w:val="008C2BC5"/>
    <w:rsid w:val="008C2CC3"/>
    <w:rsid w:val="008C3CA1"/>
    <w:rsid w:val="008C3FDE"/>
    <w:rsid w:val="008C4FBA"/>
    <w:rsid w:val="008C73FB"/>
    <w:rsid w:val="008C7502"/>
    <w:rsid w:val="008D0C9A"/>
    <w:rsid w:val="008D1935"/>
    <w:rsid w:val="008D2E46"/>
    <w:rsid w:val="008D3137"/>
    <w:rsid w:val="008D4520"/>
    <w:rsid w:val="008D4713"/>
    <w:rsid w:val="008D4BF9"/>
    <w:rsid w:val="008D56EF"/>
    <w:rsid w:val="008D68C4"/>
    <w:rsid w:val="008D799E"/>
    <w:rsid w:val="008E1A5F"/>
    <w:rsid w:val="008E1BDB"/>
    <w:rsid w:val="008E508E"/>
    <w:rsid w:val="008E55F8"/>
    <w:rsid w:val="008E5B27"/>
    <w:rsid w:val="008E5E14"/>
    <w:rsid w:val="008E68A2"/>
    <w:rsid w:val="008F3697"/>
    <w:rsid w:val="008F3EE3"/>
    <w:rsid w:val="008F4F3B"/>
    <w:rsid w:val="008F6324"/>
    <w:rsid w:val="008F65D7"/>
    <w:rsid w:val="008F6D46"/>
    <w:rsid w:val="008F7C2D"/>
    <w:rsid w:val="00900207"/>
    <w:rsid w:val="00901114"/>
    <w:rsid w:val="009035B3"/>
    <w:rsid w:val="00903FF8"/>
    <w:rsid w:val="00906BFB"/>
    <w:rsid w:val="00906EB9"/>
    <w:rsid w:val="00907B30"/>
    <w:rsid w:val="0091021E"/>
    <w:rsid w:val="00910617"/>
    <w:rsid w:val="00910BBD"/>
    <w:rsid w:val="00910C9C"/>
    <w:rsid w:val="00911A70"/>
    <w:rsid w:val="009120FE"/>
    <w:rsid w:val="00913AE0"/>
    <w:rsid w:val="00914A16"/>
    <w:rsid w:val="00915D7A"/>
    <w:rsid w:val="00921D30"/>
    <w:rsid w:val="0092205D"/>
    <w:rsid w:val="0092320C"/>
    <w:rsid w:val="00923FA9"/>
    <w:rsid w:val="009241EA"/>
    <w:rsid w:val="009245F4"/>
    <w:rsid w:val="00925329"/>
    <w:rsid w:val="00925D18"/>
    <w:rsid w:val="009264D5"/>
    <w:rsid w:val="00926F7C"/>
    <w:rsid w:val="00927109"/>
    <w:rsid w:val="00927D12"/>
    <w:rsid w:val="00927D8E"/>
    <w:rsid w:val="00927EE6"/>
    <w:rsid w:val="00931BA8"/>
    <w:rsid w:val="00931E43"/>
    <w:rsid w:val="0093260C"/>
    <w:rsid w:val="00932FAE"/>
    <w:rsid w:val="0093348D"/>
    <w:rsid w:val="00934651"/>
    <w:rsid w:val="009351AB"/>
    <w:rsid w:val="009356FC"/>
    <w:rsid w:val="00936C0C"/>
    <w:rsid w:val="00936DDF"/>
    <w:rsid w:val="00936F4E"/>
    <w:rsid w:val="00940171"/>
    <w:rsid w:val="0094288A"/>
    <w:rsid w:val="00942C6A"/>
    <w:rsid w:val="00943364"/>
    <w:rsid w:val="009435B0"/>
    <w:rsid w:val="009459D5"/>
    <w:rsid w:val="00945FCC"/>
    <w:rsid w:val="0094648E"/>
    <w:rsid w:val="009503CC"/>
    <w:rsid w:val="009509CC"/>
    <w:rsid w:val="0095116D"/>
    <w:rsid w:val="009514DA"/>
    <w:rsid w:val="00951A41"/>
    <w:rsid w:val="00952579"/>
    <w:rsid w:val="00952845"/>
    <w:rsid w:val="009537C5"/>
    <w:rsid w:val="009559F5"/>
    <w:rsid w:val="00956366"/>
    <w:rsid w:val="0095705A"/>
    <w:rsid w:val="00957AFD"/>
    <w:rsid w:val="009603BA"/>
    <w:rsid w:val="00961012"/>
    <w:rsid w:val="00962AAC"/>
    <w:rsid w:val="0096454E"/>
    <w:rsid w:val="00964CDA"/>
    <w:rsid w:val="00964DF6"/>
    <w:rsid w:val="00965784"/>
    <w:rsid w:val="00965FF4"/>
    <w:rsid w:val="00966FC2"/>
    <w:rsid w:val="0096724D"/>
    <w:rsid w:val="00967976"/>
    <w:rsid w:val="0097014A"/>
    <w:rsid w:val="0097040B"/>
    <w:rsid w:val="00971600"/>
    <w:rsid w:val="009716CA"/>
    <w:rsid w:val="0097171C"/>
    <w:rsid w:val="00972861"/>
    <w:rsid w:val="00973B78"/>
    <w:rsid w:val="009747D9"/>
    <w:rsid w:val="0097529D"/>
    <w:rsid w:val="009752B6"/>
    <w:rsid w:val="00975F75"/>
    <w:rsid w:val="0097606E"/>
    <w:rsid w:val="009760FE"/>
    <w:rsid w:val="00976B1B"/>
    <w:rsid w:val="00977254"/>
    <w:rsid w:val="00982419"/>
    <w:rsid w:val="00982B57"/>
    <w:rsid w:val="00984B70"/>
    <w:rsid w:val="00984D9F"/>
    <w:rsid w:val="0098547B"/>
    <w:rsid w:val="00985631"/>
    <w:rsid w:val="00985897"/>
    <w:rsid w:val="00985CB6"/>
    <w:rsid w:val="00986250"/>
    <w:rsid w:val="00986CCA"/>
    <w:rsid w:val="0098789C"/>
    <w:rsid w:val="009902AF"/>
    <w:rsid w:val="009908B5"/>
    <w:rsid w:val="0099112F"/>
    <w:rsid w:val="009931B2"/>
    <w:rsid w:val="00993275"/>
    <w:rsid w:val="0099328C"/>
    <w:rsid w:val="009941CE"/>
    <w:rsid w:val="00995DD0"/>
    <w:rsid w:val="0099794C"/>
    <w:rsid w:val="009A0935"/>
    <w:rsid w:val="009A14CC"/>
    <w:rsid w:val="009A193E"/>
    <w:rsid w:val="009A1A0D"/>
    <w:rsid w:val="009A1C15"/>
    <w:rsid w:val="009A4135"/>
    <w:rsid w:val="009A446A"/>
    <w:rsid w:val="009A46E0"/>
    <w:rsid w:val="009A4CDA"/>
    <w:rsid w:val="009A4F3A"/>
    <w:rsid w:val="009A7C30"/>
    <w:rsid w:val="009B3049"/>
    <w:rsid w:val="009B309A"/>
    <w:rsid w:val="009B379E"/>
    <w:rsid w:val="009B5010"/>
    <w:rsid w:val="009B513B"/>
    <w:rsid w:val="009B5F27"/>
    <w:rsid w:val="009C03E7"/>
    <w:rsid w:val="009C119B"/>
    <w:rsid w:val="009C1652"/>
    <w:rsid w:val="009C1962"/>
    <w:rsid w:val="009C1D70"/>
    <w:rsid w:val="009C1ECC"/>
    <w:rsid w:val="009C3318"/>
    <w:rsid w:val="009C368C"/>
    <w:rsid w:val="009C4299"/>
    <w:rsid w:val="009C46D9"/>
    <w:rsid w:val="009C5D55"/>
    <w:rsid w:val="009C64C7"/>
    <w:rsid w:val="009C6FDB"/>
    <w:rsid w:val="009C73DE"/>
    <w:rsid w:val="009D0386"/>
    <w:rsid w:val="009D07FE"/>
    <w:rsid w:val="009D0880"/>
    <w:rsid w:val="009D254E"/>
    <w:rsid w:val="009D2A51"/>
    <w:rsid w:val="009D2DA8"/>
    <w:rsid w:val="009D2FB2"/>
    <w:rsid w:val="009D326E"/>
    <w:rsid w:val="009D3E48"/>
    <w:rsid w:val="009D4E55"/>
    <w:rsid w:val="009D4FAD"/>
    <w:rsid w:val="009D6852"/>
    <w:rsid w:val="009D6B4B"/>
    <w:rsid w:val="009D76C8"/>
    <w:rsid w:val="009D7EDC"/>
    <w:rsid w:val="009E0430"/>
    <w:rsid w:val="009E0972"/>
    <w:rsid w:val="009E218B"/>
    <w:rsid w:val="009E2470"/>
    <w:rsid w:val="009E279A"/>
    <w:rsid w:val="009E28C4"/>
    <w:rsid w:val="009E333D"/>
    <w:rsid w:val="009E33BB"/>
    <w:rsid w:val="009E480A"/>
    <w:rsid w:val="009E4CD6"/>
    <w:rsid w:val="009E578D"/>
    <w:rsid w:val="009E5833"/>
    <w:rsid w:val="009E59D6"/>
    <w:rsid w:val="009E5FE4"/>
    <w:rsid w:val="009E6379"/>
    <w:rsid w:val="009E6C51"/>
    <w:rsid w:val="009E6CE7"/>
    <w:rsid w:val="009E79A8"/>
    <w:rsid w:val="009F1587"/>
    <w:rsid w:val="009F1735"/>
    <w:rsid w:val="009F1E44"/>
    <w:rsid w:val="009F1F6A"/>
    <w:rsid w:val="009F33C6"/>
    <w:rsid w:val="009F40BE"/>
    <w:rsid w:val="009F480B"/>
    <w:rsid w:val="009F56AC"/>
    <w:rsid w:val="009F6117"/>
    <w:rsid w:val="009F6A04"/>
    <w:rsid w:val="009F6EDB"/>
    <w:rsid w:val="00A0137C"/>
    <w:rsid w:val="00A02D4B"/>
    <w:rsid w:val="00A02D6F"/>
    <w:rsid w:val="00A04765"/>
    <w:rsid w:val="00A0574C"/>
    <w:rsid w:val="00A06140"/>
    <w:rsid w:val="00A06238"/>
    <w:rsid w:val="00A06869"/>
    <w:rsid w:val="00A07134"/>
    <w:rsid w:val="00A07A94"/>
    <w:rsid w:val="00A12523"/>
    <w:rsid w:val="00A126DF"/>
    <w:rsid w:val="00A12E93"/>
    <w:rsid w:val="00A13016"/>
    <w:rsid w:val="00A13247"/>
    <w:rsid w:val="00A1500B"/>
    <w:rsid w:val="00A1543D"/>
    <w:rsid w:val="00A1565F"/>
    <w:rsid w:val="00A15F83"/>
    <w:rsid w:val="00A164F8"/>
    <w:rsid w:val="00A165B2"/>
    <w:rsid w:val="00A17E11"/>
    <w:rsid w:val="00A2038D"/>
    <w:rsid w:val="00A206B2"/>
    <w:rsid w:val="00A20A35"/>
    <w:rsid w:val="00A20C94"/>
    <w:rsid w:val="00A226C0"/>
    <w:rsid w:val="00A22912"/>
    <w:rsid w:val="00A23642"/>
    <w:rsid w:val="00A250D5"/>
    <w:rsid w:val="00A26353"/>
    <w:rsid w:val="00A27EFD"/>
    <w:rsid w:val="00A30788"/>
    <w:rsid w:val="00A30E24"/>
    <w:rsid w:val="00A316F5"/>
    <w:rsid w:val="00A31D3C"/>
    <w:rsid w:val="00A34053"/>
    <w:rsid w:val="00A34D4B"/>
    <w:rsid w:val="00A358E2"/>
    <w:rsid w:val="00A35BAA"/>
    <w:rsid w:val="00A36388"/>
    <w:rsid w:val="00A36546"/>
    <w:rsid w:val="00A368DA"/>
    <w:rsid w:val="00A36964"/>
    <w:rsid w:val="00A374F8"/>
    <w:rsid w:val="00A40720"/>
    <w:rsid w:val="00A40A21"/>
    <w:rsid w:val="00A42572"/>
    <w:rsid w:val="00A4283C"/>
    <w:rsid w:val="00A43087"/>
    <w:rsid w:val="00A43871"/>
    <w:rsid w:val="00A4395B"/>
    <w:rsid w:val="00A44D2A"/>
    <w:rsid w:val="00A44F64"/>
    <w:rsid w:val="00A44FE8"/>
    <w:rsid w:val="00A464B5"/>
    <w:rsid w:val="00A46D6A"/>
    <w:rsid w:val="00A50334"/>
    <w:rsid w:val="00A50386"/>
    <w:rsid w:val="00A51393"/>
    <w:rsid w:val="00A529D6"/>
    <w:rsid w:val="00A52B5C"/>
    <w:rsid w:val="00A52DFB"/>
    <w:rsid w:val="00A5422D"/>
    <w:rsid w:val="00A552C4"/>
    <w:rsid w:val="00A55E2D"/>
    <w:rsid w:val="00A56FBF"/>
    <w:rsid w:val="00A57701"/>
    <w:rsid w:val="00A578EB"/>
    <w:rsid w:val="00A57B64"/>
    <w:rsid w:val="00A57DC2"/>
    <w:rsid w:val="00A57FDB"/>
    <w:rsid w:val="00A6010F"/>
    <w:rsid w:val="00A624C5"/>
    <w:rsid w:val="00A62E49"/>
    <w:rsid w:val="00A62FE4"/>
    <w:rsid w:val="00A636AE"/>
    <w:rsid w:val="00A640CA"/>
    <w:rsid w:val="00A646E0"/>
    <w:rsid w:val="00A65F03"/>
    <w:rsid w:val="00A709C3"/>
    <w:rsid w:val="00A7142E"/>
    <w:rsid w:val="00A71531"/>
    <w:rsid w:val="00A71B72"/>
    <w:rsid w:val="00A72378"/>
    <w:rsid w:val="00A72D3E"/>
    <w:rsid w:val="00A738F1"/>
    <w:rsid w:val="00A73D4E"/>
    <w:rsid w:val="00A73FEC"/>
    <w:rsid w:val="00A740BA"/>
    <w:rsid w:val="00A754B7"/>
    <w:rsid w:val="00A75BF9"/>
    <w:rsid w:val="00A7641E"/>
    <w:rsid w:val="00A76CF6"/>
    <w:rsid w:val="00A80497"/>
    <w:rsid w:val="00A8159F"/>
    <w:rsid w:val="00A81A84"/>
    <w:rsid w:val="00A823DA"/>
    <w:rsid w:val="00A82979"/>
    <w:rsid w:val="00A85124"/>
    <w:rsid w:val="00A85477"/>
    <w:rsid w:val="00A8580D"/>
    <w:rsid w:val="00A85D7A"/>
    <w:rsid w:val="00A90559"/>
    <w:rsid w:val="00A90B5A"/>
    <w:rsid w:val="00A92DFD"/>
    <w:rsid w:val="00A93631"/>
    <w:rsid w:val="00A93AAA"/>
    <w:rsid w:val="00A9417B"/>
    <w:rsid w:val="00A94CA4"/>
    <w:rsid w:val="00A95007"/>
    <w:rsid w:val="00A9558B"/>
    <w:rsid w:val="00A956F8"/>
    <w:rsid w:val="00A95747"/>
    <w:rsid w:val="00A95E63"/>
    <w:rsid w:val="00A976EB"/>
    <w:rsid w:val="00A9779E"/>
    <w:rsid w:val="00AA24D9"/>
    <w:rsid w:val="00AA2751"/>
    <w:rsid w:val="00AA2CDA"/>
    <w:rsid w:val="00AA30A8"/>
    <w:rsid w:val="00AA331F"/>
    <w:rsid w:val="00AA45DF"/>
    <w:rsid w:val="00AA4C42"/>
    <w:rsid w:val="00AA60D1"/>
    <w:rsid w:val="00AA6A65"/>
    <w:rsid w:val="00AA75CC"/>
    <w:rsid w:val="00AA7E90"/>
    <w:rsid w:val="00AB0515"/>
    <w:rsid w:val="00AB07C8"/>
    <w:rsid w:val="00AB0FEE"/>
    <w:rsid w:val="00AB274F"/>
    <w:rsid w:val="00AB40ED"/>
    <w:rsid w:val="00AB42C7"/>
    <w:rsid w:val="00AB4F30"/>
    <w:rsid w:val="00AB50AF"/>
    <w:rsid w:val="00AB5F7C"/>
    <w:rsid w:val="00AB65CA"/>
    <w:rsid w:val="00AC0801"/>
    <w:rsid w:val="00AC4332"/>
    <w:rsid w:val="00AC6800"/>
    <w:rsid w:val="00AC6895"/>
    <w:rsid w:val="00AD01EA"/>
    <w:rsid w:val="00AD038D"/>
    <w:rsid w:val="00AD0AEA"/>
    <w:rsid w:val="00AD0E48"/>
    <w:rsid w:val="00AD14CA"/>
    <w:rsid w:val="00AD162F"/>
    <w:rsid w:val="00AD1F01"/>
    <w:rsid w:val="00AD3918"/>
    <w:rsid w:val="00AD4826"/>
    <w:rsid w:val="00AD4BF0"/>
    <w:rsid w:val="00AD5FF8"/>
    <w:rsid w:val="00AD6AE5"/>
    <w:rsid w:val="00AD7502"/>
    <w:rsid w:val="00AD7A8A"/>
    <w:rsid w:val="00AE09D4"/>
    <w:rsid w:val="00AE0C98"/>
    <w:rsid w:val="00AE13D7"/>
    <w:rsid w:val="00AE1591"/>
    <w:rsid w:val="00AE24A5"/>
    <w:rsid w:val="00AE2B7B"/>
    <w:rsid w:val="00AE3819"/>
    <w:rsid w:val="00AE3EF1"/>
    <w:rsid w:val="00AE4BA4"/>
    <w:rsid w:val="00AE4C4F"/>
    <w:rsid w:val="00AE5C70"/>
    <w:rsid w:val="00AE5D8C"/>
    <w:rsid w:val="00AE652A"/>
    <w:rsid w:val="00AF01FA"/>
    <w:rsid w:val="00AF0955"/>
    <w:rsid w:val="00AF39EB"/>
    <w:rsid w:val="00AF468F"/>
    <w:rsid w:val="00AF4B81"/>
    <w:rsid w:val="00AF554C"/>
    <w:rsid w:val="00AF58F4"/>
    <w:rsid w:val="00AF6859"/>
    <w:rsid w:val="00AF68E4"/>
    <w:rsid w:val="00AF6E63"/>
    <w:rsid w:val="00AF7A66"/>
    <w:rsid w:val="00AF7C9B"/>
    <w:rsid w:val="00B00AF8"/>
    <w:rsid w:val="00B00C02"/>
    <w:rsid w:val="00B01F61"/>
    <w:rsid w:val="00B03CEE"/>
    <w:rsid w:val="00B0445A"/>
    <w:rsid w:val="00B04904"/>
    <w:rsid w:val="00B06772"/>
    <w:rsid w:val="00B069E3"/>
    <w:rsid w:val="00B06DC4"/>
    <w:rsid w:val="00B07C72"/>
    <w:rsid w:val="00B100F6"/>
    <w:rsid w:val="00B110CF"/>
    <w:rsid w:val="00B12274"/>
    <w:rsid w:val="00B1243C"/>
    <w:rsid w:val="00B147C0"/>
    <w:rsid w:val="00B16509"/>
    <w:rsid w:val="00B20150"/>
    <w:rsid w:val="00B20371"/>
    <w:rsid w:val="00B2157D"/>
    <w:rsid w:val="00B21760"/>
    <w:rsid w:val="00B21B02"/>
    <w:rsid w:val="00B2326C"/>
    <w:rsid w:val="00B23568"/>
    <w:rsid w:val="00B23F9D"/>
    <w:rsid w:val="00B24117"/>
    <w:rsid w:val="00B241A0"/>
    <w:rsid w:val="00B243F6"/>
    <w:rsid w:val="00B26BED"/>
    <w:rsid w:val="00B27617"/>
    <w:rsid w:val="00B276B7"/>
    <w:rsid w:val="00B278FE"/>
    <w:rsid w:val="00B27C70"/>
    <w:rsid w:val="00B31CF6"/>
    <w:rsid w:val="00B32E47"/>
    <w:rsid w:val="00B3341E"/>
    <w:rsid w:val="00B34F11"/>
    <w:rsid w:val="00B35344"/>
    <w:rsid w:val="00B3537F"/>
    <w:rsid w:val="00B368C1"/>
    <w:rsid w:val="00B36DDA"/>
    <w:rsid w:val="00B40889"/>
    <w:rsid w:val="00B41028"/>
    <w:rsid w:val="00B417B5"/>
    <w:rsid w:val="00B4182E"/>
    <w:rsid w:val="00B427E0"/>
    <w:rsid w:val="00B440E2"/>
    <w:rsid w:val="00B472A7"/>
    <w:rsid w:val="00B4752D"/>
    <w:rsid w:val="00B47E66"/>
    <w:rsid w:val="00B50A15"/>
    <w:rsid w:val="00B513D0"/>
    <w:rsid w:val="00B52199"/>
    <w:rsid w:val="00B52818"/>
    <w:rsid w:val="00B53946"/>
    <w:rsid w:val="00B55A26"/>
    <w:rsid w:val="00B55F55"/>
    <w:rsid w:val="00B56001"/>
    <w:rsid w:val="00B56C1C"/>
    <w:rsid w:val="00B56C34"/>
    <w:rsid w:val="00B575B2"/>
    <w:rsid w:val="00B577D4"/>
    <w:rsid w:val="00B57EEB"/>
    <w:rsid w:val="00B60525"/>
    <w:rsid w:val="00B6306A"/>
    <w:rsid w:val="00B6308D"/>
    <w:rsid w:val="00B63633"/>
    <w:rsid w:val="00B64971"/>
    <w:rsid w:val="00B64ABE"/>
    <w:rsid w:val="00B65006"/>
    <w:rsid w:val="00B6511C"/>
    <w:rsid w:val="00B65C6E"/>
    <w:rsid w:val="00B66C30"/>
    <w:rsid w:val="00B6709D"/>
    <w:rsid w:val="00B670EE"/>
    <w:rsid w:val="00B671B7"/>
    <w:rsid w:val="00B67585"/>
    <w:rsid w:val="00B70501"/>
    <w:rsid w:val="00B72D45"/>
    <w:rsid w:val="00B73177"/>
    <w:rsid w:val="00B74AB8"/>
    <w:rsid w:val="00B74D15"/>
    <w:rsid w:val="00B75094"/>
    <w:rsid w:val="00B75226"/>
    <w:rsid w:val="00B75BDC"/>
    <w:rsid w:val="00B75D6C"/>
    <w:rsid w:val="00B7633E"/>
    <w:rsid w:val="00B7731A"/>
    <w:rsid w:val="00B77547"/>
    <w:rsid w:val="00B77C2E"/>
    <w:rsid w:val="00B818E5"/>
    <w:rsid w:val="00B82056"/>
    <w:rsid w:val="00B8209D"/>
    <w:rsid w:val="00B829DE"/>
    <w:rsid w:val="00B82B64"/>
    <w:rsid w:val="00B82C66"/>
    <w:rsid w:val="00B84D37"/>
    <w:rsid w:val="00B855D2"/>
    <w:rsid w:val="00B85A86"/>
    <w:rsid w:val="00B8694A"/>
    <w:rsid w:val="00B87295"/>
    <w:rsid w:val="00B92EBC"/>
    <w:rsid w:val="00B93B95"/>
    <w:rsid w:val="00B95AE3"/>
    <w:rsid w:val="00B962E2"/>
    <w:rsid w:val="00B97CD0"/>
    <w:rsid w:val="00BA00B7"/>
    <w:rsid w:val="00BA078D"/>
    <w:rsid w:val="00BA2203"/>
    <w:rsid w:val="00BA2ABE"/>
    <w:rsid w:val="00BA2D34"/>
    <w:rsid w:val="00BA4316"/>
    <w:rsid w:val="00BA5EA5"/>
    <w:rsid w:val="00BA6081"/>
    <w:rsid w:val="00BA69C1"/>
    <w:rsid w:val="00BA715F"/>
    <w:rsid w:val="00BA78F2"/>
    <w:rsid w:val="00BB02E0"/>
    <w:rsid w:val="00BB0B25"/>
    <w:rsid w:val="00BB14F8"/>
    <w:rsid w:val="00BB1999"/>
    <w:rsid w:val="00BB19DC"/>
    <w:rsid w:val="00BB201D"/>
    <w:rsid w:val="00BB24E7"/>
    <w:rsid w:val="00BB3501"/>
    <w:rsid w:val="00BB3BCD"/>
    <w:rsid w:val="00BB4280"/>
    <w:rsid w:val="00BB48E7"/>
    <w:rsid w:val="00BB5C56"/>
    <w:rsid w:val="00BB70AA"/>
    <w:rsid w:val="00BB73F6"/>
    <w:rsid w:val="00BB7B96"/>
    <w:rsid w:val="00BC1CAD"/>
    <w:rsid w:val="00BC1E9E"/>
    <w:rsid w:val="00BC23A1"/>
    <w:rsid w:val="00BC3D91"/>
    <w:rsid w:val="00BC4906"/>
    <w:rsid w:val="00BC6192"/>
    <w:rsid w:val="00BC61A0"/>
    <w:rsid w:val="00BD0029"/>
    <w:rsid w:val="00BD0F12"/>
    <w:rsid w:val="00BD304A"/>
    <w:rsid w:val="00BD3D87"/>
    <w:rsid w:val="00BD561F"/>
    <w:rsid w:val="00BD5BAA"/>
    <w:rsid w:val="00BE08E3"/>
    <w:rsid w:val="00BE0BA1"/>
    <w:rsid w:val="00BE2B73"/>
    <w:rsid w:val="00BE2DD7"/>
    <w:rsid w:val="00BE2EDB"/>
    <w:rsid w:val="00BE324C"/>
    <w:rsid w:val="00BE3881"/>
    <w:rsid w:val="00BE41CB"/>
    <w:rsid w:val="00BE5077"/>
    <w:rsid w:val="00BE53B2"/>
    <w:rsid w:val="00BE557D"/>
    <w:rsid w:val="00BE5FEA"/>
    <w:rsid w:val="00BE6453"/>
    <w:rsid w:val="00BE6B90"/>
    <w:rsid w:val="00BF011F"/>
    <w:rsid w:val="00BF147C"/>
    <w:rsid w:val="00BF1B4D"/>
    <w:rsid w:val="00BF231B"/>
    <w:rsid w:val="00BF2607"/>
    <w:rsid w:val="00BF286E"/>
    <w:rsid w:val="00BF33E1"/>
    <w:rsid w:val="00BF371E"/>
    <w:rsid w:val="00BF3F4F"/>
    <w:rsid w:val="00BF44CC"/>
    <w:rsid w:val="00BF51DE"/>
    <w:rsid w:val="00C0025F"/>
    <w:rsid w:val="00C005A0"/>
    <w:rsid w:val="00C00E7C"/>
    <w:rsid w:val="00C00F61"/>
    <w:rsid w:val="00C0144C"/>
    <w:rsid w:val="00C01581"/>
    <w:rsid w:val="00C01834"/>
    <w:rsid w:val="00C02A4D"/>
    <w:rsid w:val="00C03316"/>
    <w:rsid w:val="00C043F1"/>
    <w:rsid w:val="00C04452"/>
    <w:rsid w:val="00C0526C"/>
    <w:rsid w:val="00C05A6E"/>
    <w:rsid w:val="00C07EC6"/>
    <w:rsid w:val="00C07F72"/>
    <w:rsid w:val="00C11214"/>
    <w:rsid w:val="00C11466"/>
    <w:rsid w:val="00C116F4"/>
    <w:rsid w:val="00C1211C"/>
    <w:rsid w:val="00C13634"/>
    <w:rsid w:val="00C16E63"/>
    <w:rsid w:val="00C17250"/>
    <w:rsid w:val="00C20A39"/>
    <w:rsid w:val="00C21239"/>
    <w:rsid w:val="00C2145C"/>
    <w:rsid w:val="00C21B0A"/>
    <w:rsid w:val="00C21FF2"/>
    <w:rsid w:val="00C22595"/>
    <w:rsid w:val="00C23143"/>
    <w:rsid w:val="00C24B13"/>
    <w:rsid w:val="00C251D9"/>
    <w:rsid w:val="00C25A34"/>
    <w:rsid w:val="00C25DCD"/>
    <w:rsid w:val="00C26054"/>
    <w:rsid w:val="00C261D0"/>
    <w:rsid w:val="00C27721"/>
    <w:rsid w:val="00C2781A"/>
    <w:rsid w:val="00C27AF6"/>
    <w:rsid w:val="00C301C6"/>
    <w:rsid w:val="00C31DC1"/>
    <w:rsid w:val="00C32833"/>
    <w:rsid w:val="00C32C8F"/>
    <w:rsid w:val="00C33B20"/>
    <w:rsid w:val="00C33B95"/>
    <w:rsid w:val="00C33BE8"/>
    <w:rsid w:val="00C33C20"/>
    <w:rsid w:val="00C35222"/>
    <w:rsid w:val="00C3563D"/>
    <w:rsid w:val="00C35760"/>
    <w:rsid w:val="00C357C4"/>
    <w:rsid w:val="00C35F93"/>
    <w:rsid w:val="00C364ED"/>
    <w:rsid w:val="00C36DC2"/>
    <w:rsid w:val="00C37181"/>
    <w:rsid w:val="00C374E0"/>
    <w:rsid w:val="00C3779D"/>
    <w:rsid w:val="00C37A31"/>
    <w:rsid w:val="00C4102D"/>
    <w:rsid w:val="00C425F7"/>
    <w:rsid w:val="00C42D7D"/>
    <w:rsid w:val="00C42EA4"/>
    <w:rsid w:val="00C4331A"/>
    <w:rsid w:val="00C43357"/>
    <w:rsid w:val="00C43D45"/>
    <w:rsid w:val="00C447F5"/>
    <w:rsid w:val="00C45BBA"/>
    <w:rsid w:val="00C45FE3"/>
    <w:rsid w:val="00C46518"/>
    <w:rsid w:val="00C476D3"/>
    <w:rsid w:val="00C478BB"/>
    <w:rsid w:val="00C47A3B"/>
    <w:rsid w:val="00C47E84"/>
    <w:rsid w:val="00C50AA8"/>
    <w:rsid w:val="00C51451"/>
    <w:rsid w:val="00C516D4"/>
    <w:rsid w:val="00C51700"/>
    <w:rsid w:val="00C517D1"/>
    <w:rsid w:val="00C528E8"/>
    <w:rsid w:val="00C54013"/>
    <w:rsid w:val="00C54A2A"/>
    <w:rsid w:val="00C5500E"/>
    <w:rsid w:val="00C5596A"/>
    <w:rsid w:val="00C55C0E"/>
    <w:rsid w:val="00C56AAB"/>
    <w:rsid w:val="00C56B93"/>
    <w:rsid w:val="00C572B5"/>
    <w:rsid w:val="00C6009C"/>
    <w:rsid w:val="00C6062B"/>
    <w:rsid w:val="00C61B04"/>
    <w:rsid w:val="00C624C7"/>
    <w:rsid w:val="00C62703"/>
    <w:rsid w:val="00C639CC"/>
    <w:rsid w:val="00C6415B"/>
    <w:rsid w:val="00C64B24"/>
    <w:rsid w:val="00C65965"/>
    <w:rsid w:val="00C65EAD"/>
    <w:rsid w:val="00C66D93"/>
    <w:rsid w:val="00C67902"/>
    <w:rsid w:val="00C67E04"/>
    <w:rsid w:val="00C74510"/>
    <w:rsid w:val="00C74D46"/>
    <w:rsid w:val="00C7507E"/>
    <w:rsid w:val="00C77415"/>
    <w:rsid w:val="00C77960"/>
    <w:rsid w:val="00C8002A"/>
    <w:rsid w:val="00C800E8"/>
    <w:rsid w:val="00C816A3"/>
    <w:rsid w:val="00C8183C"/>
    <w:rsid w:val="00C83712"/>
    <w:rsid w:val="00C8382F"/>
    <w:rsid w:val="00C846FB"/>
    <w:rsid w:val="00C84A0E"/>
    <w:rsid w:val="00C84C21"/>
    <w:rsid w:val="00C86761"/>
    <w:rsid w:val="00C87909"/>
    <w:rsid w:val="00C87C23"/>
    <w:rsid w:val="00C90CFE"/>
    <w:rsid w:val="00C91682"/>
    <w:rsid w:val="00C92553"/>
    <w:rsid w:val="00C9264C"/>
    <w:rsid w:val="00C93829"/>
    <w:rsid w:val="00C93F20"/>
    <w:rsid w:val="00C94AE9"/>
    <w:rsid w:val="00C94CC6"/>
    <w:rsid w:val="00C94E70"/>
    <w:rsid w:val="00C94E82"/>
    <w:rsid w:val="00C94FA0"/>
    <w:rsid w:val="00C97957"/>
    <w:rsid w:val="00C97966"/>
    <w:rsid w:val="00C97AB1"/>
    <w:rsid w:val="00CA03F9"/>
    <w:rsid w:val="00CA07CF"/>
    <w:rsid w:val="00CA08AF"/>
    <w:rsid w:val="00CA1430"/>
    <w:rsid w:val="00CA1AE8"/>
    <w:rsid w:val="00CA3A50"/>
    <w:rsid w:val="00CA4457"/>
    <w:rsid w:val="00CA5CB1"/>
    <w:rsid w:val="00CA69E1"/>
    <w:rsid w:val="00CA73DE"/>
    <w:rsid w:val="00CB03B4"/>
    <w:rsid w:val="00CB15D6"/>
    <w:rsid w:val="00CB1B4F"/>
    <w:rsid w:val="00CB4704"/>
    <w:rsid w:val="00CB4A54"/>
    <w:rsid w:val="00CB5001"/>
    <w:rsid w:val="00CB50B3"/>
    <w:rsid w:val="00CB772B"/>
    <w:rsid w:val="00CB782C"/>
    <w:rsid w:val="00CB7FD6"/>
    <w:rsid w:val="00CC08DE"/>
    <w:rsid w:val="00CC0ABF"/>
    <w:rsid w:val="00CC0CD9"/>
    <w:rsid w:val="00CC1263"/>
    <w:rsid w:val="00CC22B3"/>
    <w:rsid w:val="00CC233E"/>
    <w:rsid w:val="00CC3868"/>
    <w:rsid w:val="00CC4C97"/>
    <w:rsid w:val="00CC5851"/>
    <w:rsid w:val="00CC6227"/>
    <w:rsid w:val="00CC664A"/>
    <w:rsid w:val="00CC6B84"/>
    <w:rsid w:val="00CD1589"/>
    <w:rsid w:val="00CD1C15"/>
    <w:rsid w:val="00CD27A5"/>
    <w:rsid w:val="00CD29FA"/>
    <w:rsid w:val="00CD4047"/>
    <w:rsid w:val="00CD4B65"/>
    <w:rsid w:val="00CD4FF5"/>
    <w:rsid w:val="00CD5962"/>
    <w:rsid w:val="00CD65F5"/>
    <w:rsid w:val="00CD6D68"/>
    <w:rsid w:val="00CD7D72"/>
    <w:rsid w:val="00CE024D"/>
    <w:rsid w:val="00CE03E5"/>
    <w:rsid w:val="00CE0CB8"/>
    <w:rsid w:val="00CE13C2"/>
    <w:rsid w:val="00CE2042"/>
    <w:rsid w:val="00CE21A4"/>
    <w:rsid w:val="00CE28DB"/>
    <w:rsid w:val="00CE2DA7"/>
    <w:rsid w:val="00CE3472"/>
    <w:rsid w:val="00CE54C2"/>
    <w:rsid w:val="00CE57A1"/>
    <w:rsid w:val="00CE5A2B"/>
    <w:rsid w:val="00CE6990"/>
    <w:rsid w:val="00CE72CF"/>
    <w:rsid w:val="00CE77C6"/>
    <w:rsid w:val="00CE79A1"/>
    <w:rsid w:val="00CE7CE0"/>
    <w:rsid w:val="00CF1FDA"/>
    <w:rsid w:val="00CF284E"/>
    <w:rsid w:val="00CF2A29"/>
    <w:rsid w:val="00CF2F21"/>
    <w:rsid w:val="00CF3034"/>
    <w:rsid w:val="00CF381A"/>
    <w:rsid w:val="00CF4444"/>
    <w:rsid w:val="00CF4497"/>
    <w:rsid w:val="00CF4625"/>
    <w:rsid w:val="00CF5A76"/>
    <w:rsid w:val="00CF6374"/>
    <w:rsid w:val="00CF666E"/>
    <w:rsid w:val="00CF7A07"/>
    <w:rsid w:val="00D00C17"/>
    <w:rsid w:val="00D01061"/>
    <w:rsid w:val="00D01B29"/>
    <w:rsid w:val="00D02424"/>
    <w:rsid w:val="00D0265F"/>
    <w:rsid w:val="00D0291A"/>
    <w:rsid w:val="00D032E4"/>
    <w:rsid w:val="00D034CC"/>
    <w:rsid w:val="00D03EA6"/>
    <w:rsid w:val="00D04BE7"/>
    <w:rsid w:val="00D058C8"/>
    <w:rsid w:val="00D06144"/>
    <w:rsid w:val="00D063F2"/>
    <w:rsid w:val="00D07C3E"/>
    <w:rsid w:val="00D10DA1"/>
    <w:rsid w:val="00D11632"/>
    <w:rsid w:val="00D1181E"/>
    <w:rsid w:val="00D118DB"/>
    <w:rsid w:val="00D121CA"/>
    <w:rsid w:val="00D121E7"/>
    <w:rsid w:val="00D12A46"/>
    <w:rsid w:val="00D134B9"/>
    <w:rsid w:val="00D1355C"/>
    <w:rsid w:val="00D136D5"/>
    <w:rsid w:val="00D13C58"/>
    <w:rsid w:val="00D141A1"/>
    <w:rsid w:val="00D14A9F"/>
    <w:rsid w:val="00D14D54"/>
    <w:rsid w:val="00D150BD"/>
    <w:rsid w:val="00D1636F"/>
    <w:rsid w:val="00D166BA"/>
    <w:rsid w:val="00D16C95"/>
    <w:rsid w:val="00D1736D"/>
    <w:rsid w:val="00D17B46"/>
    <w:rsid w:val="00D2075B"/>
    <w:rsid w:val="00D22430"/>
    <w:rsid w:val="00D2485B"/>
    <w:rsid w:val="00D24BCA"/>
    <w:rsid w:val="00D26B4A"/>
    <w:rsid w:val="00D3037A"/>
    <w:rsid w:val="00D31514"/>
    <w:rsid w:val="00D32A98"/>
    <w:rsid w:val="00D3307F"/>
    <w:rsid w:val="00D368EC"/>
    <w:rsid w:val="00D405CE"/>
    <w:rsid w:val="00D40FBF"/>
    <w:rsid w:val="00D410E9"/>
    <w:rsid w:val="00D425F0"/>
    <w:rsid w:val="00D442E0"/>
    <w:rsid w:val="00D447E4"/>
    <w:rsid w:val="00D44C9C"/>
    <w:rsid w:val="00D451B5"/>
    <w:rsid w:val="00D46C90"/>
    <w:rsid w:val="00D46DBB"/>
    <w:rsid w:val="00D4742E"/>
    <w:rsid w:val="00D47524"/>
    <w:rsid w:val="00D47955"/>
    <w:rsid w:val="00D47AE7"/>
    <w:rsid w:val="00D55B71"/>
    <w:rsid w:val="00D56072"/>
    <w:rsid w:val="00D56075"/>
    <w:rsid w:val="00D56307"/>
    <w:rsid w:val="00D569FD"/>
    <w:rsid w:val="00D56E20"/>
    <w:rsid w:val="00D57587"/>
    <w:rsid w:val="00D57716"/>
    <w:rsid w:val="00D60A84"/>
    <w:rsid w:val="00D61C74"/>
    <w:rsid w:val="00D623A1"/>
    <w:rsid w:val="00D62896"/>
    <w:rsid w:val="00D62A7A"/>
    <w:rsid w:val="00D62D99"/>
    <w:rsid w:val="00D661C8"/>
    <w:rsid w:val="00D6662F"/>
    <w:rsid w:val="00D672E2"/>
    <w:rsid w:val="00D67E85"/>
    <w:rsid w:val="00D7080E"/>
    <w:rsid w:val="00D71100"/>
    <w:rsid w:val="00D72C51"/>
    <w:rsid w:val="00D73443"/>
    <w:rsid w:val="00D73A15"/>
    <w:rsid w:val="00D742CE"/>
    <w:rsid w:val="00D7539F"/>
    <w:rsid w:val="00D75B90"/>
    <w:rsid w:val="00D76C28"/>
    <w:rsid w:val="00D76FE9"/>
    <w:rsid w:val="00D77EFB"/>
    <w:rsid w:val="00D81089"/>
    <w:rsid w:val="00D813B1"/>
    <w:rsid w:val="00D8176C"/>
    <w:rsid w:val="00D82390"/>
    <w:rsid w:val="00D82784"/>
    <w:rsid w:val="00D83C6E"/>
    <w:rsid w:val="00D84A1E"/>
    <w:rsid w:val="00D84B29"/>
    <w:rsid w:val="00D85413"/>
    <w:rsid w:val="00D855E8"/>
    <w:rsid w:val="00D859FE"/>
    <w:rsid w:val="00D85EDB"/>
    <w:rsid w:val="00D8643F"/>
    <w:rsid w:val="00D86600"/>
    <w:rsid w:val="00D94630"/>
    <w:rsid w:val="00D94894"/>
    <w:rsid w:val="00D95176"/>
    <w:rsid w:val="00D965FD"/>
    <w:rsid w:val="00D9687A"/>
    <w:rsid w:val="00D96911"/>
    <w:rsid w:val="00DA044D"/>
    <w:rsid w:val="00DA0B7F"/>
    <w:rsid w:val="00DA0FDA"/>
    <w:rsid w:val="00DA153F"/>
    <w:rsid w:val="00DA3133"/>
    <w:rsid w:val="00DA3159"/>
    <w:rsid w:val="00DA59D4"/>
    <w:rsid w:val="00DA6FBF"/>
    <w:rsid w:val="00DB09E2"/>
    <w:rsid w:val="00DB1B5D"/>
    <w:rsid w:val="00DB2025"/>
    <w:rsid w:val="00DB204C"/>
    <w:rsid w:val="00DB2567"/>
    <w:rsid w:val="00DB38CF"/>
    <w:rsid w:val="00DB42D3"/>
    <w:rsid w:val="00DB4496"/>
    <w:rsid w:val="00DB4712"/>
    <w:rsid w:val="00DB4FC3"/>
    <w:rsid w:val="00DB61B7"/>
    <w:rsid w:val="00DB66E9"/>
    <w:rsid w:val="00DB6C2B"/>
    <w:rsid w:val="00DB6D32"/>
    <w:rsid w:val="00DB7875"/>
    <w:rsid w:val="00DC0169"/>
    <w:rsid w:val="00DC017C"/>
    <w:rsid w:val="00DC0AA8"/>
    <w:rsid w:val="00DC1572"/>
    <w:rsid w:val="00DC27AD"/>
    <w:rsid w:val="00DC3A59"/>
    <w:rsid w:val="00DC404A"/>
    <w:rsid w:val="00DC4D65"/>
    <w:rsid w:val="00DC51BC"/>
    <w:rsid w:val="00DC5308"/>
    <w:rsid w:val="00DC6A65"/>
    <w:rsid w:val="00DD165B"/>
    <w:rsid w:val="00DD1BD3"/>
    <w:rsid w:val="00DD26F8"/>
    <w:rsid w:val="00DD28D0"/>
    <w:rsid w:val="00DD3090"/>
    <w:rsid w:val="00DD3572"/>
    <w:rsid w:val="00DD4989"/>
    <w:rsid w:val="00DD4CB5"/>
    <w:rsid w:val="00DD5348"/>
    <w:rsid w:val="00DD6A54"/>
    <w:rsid w:val="00DD6B94"/>
    <w:rsid w:val="00DD70AC"/>
    <w:rsid w:val="00DE000F"/>
    <w:rsid w:val="00DE04F6"/>
    <w:rsid w:val="00DE1332"/>
    <w:rsid w:val="00DE2B0C"/>
    <w:rsid w:val="00DE2E9F"/>
    <w:rsid w:val="00DE2F92"/>
    <w:rsid w:val="00DE3673"/>
    <w:rsid w:val="00DE43BB"/>
    <w:rsid w:val="00DE5485"/>
    <w:rsid w:val="00DE5938"/>
    <w:rsid w:val="00DE77E8"/>
    <w:rsid w:val="00DF02B8"/>
    <w:rsid w:val="00DF06AF"/>
    <w:rsid w:val="00DF12AB"/>
    <w:rsid w:val="00DF2631"/>
    <w:rsid w:val="00DF4943"/>
    <w:rsid w:val="00DF5740"/>
    <w:rsid w:val="00DF61C6"/>
    <w:rsid w:val="00DF7B39"/>
    <w:rsid w:val="00E003E5"/>
    <w:rsid w:val="00E003FF"/>
    <w:rsid w:val="00E038BC"/>
    <w:rsid w:val="00E04330"/>
    <w:rsid w:val="00E04AD1"/>
    <w:rsid w:val="00E04B95"/>
    <w:rsid w:val="00E060F0"/>
    <w:rsid w:val="00E061B9"/>
    <w:rsid w:val="00E07188"/>
    <w:rsid w:val="00E073FF"/>
    <w:rsid w:val="00E076C8"/>
    <w:rsid w:val="00E07C97"/>
    <w:rsid w:val="00E07DBA"/>
    <w:rsid w:val="00E1072B"/>
    <w:rsid w:val="00E114E8"/>
    <w:rsid w:val="00E12628"/>
    <w:rsid w:val="00E1305F"/>
    <w:rsid w:val="00E13BBB"/>
    <w:rsid w:val="00E144D3"/>
    <w:rsid w:val="00E14DCF"/>
    <w:rsid w:val="00E15107"/>
    <w:rsid w:val="00E16B2A"/>
    <w:rsid w:val="00E1745F"/>
    <w:rsid w:val="00E20A57"/>
    <w:rsid w:val="00E21585"/>
    <w:rsid w:val="00E23A88"/>
    <w:rsid w:val="00E23EA5"/>
    <w:rsid w:val="00E2468F"/>
    <w:rsid w:val="00E25A14"/>
    <w:rsid w:val="00E25BF5"/>
    <w:rsid w:val="00E25D25"/>
    <w:rsid w:val="00E27157"/>
    <w:rsid w:val="00E273EB"/>
    <w:rsid w:val="00E300FA"/>
    <w:rsid w:val="00E306CD"/>
    <w:rsid w:val="00E30822"/>
    <w:rsid w:val="00E31189"/>
    <w:rsid w:val="00E31C41"/>
    <w:rsid w:val="00E33140"/>
    <w:rsid w:val="00E34228"/>
    <w:rsid w:val="00E345A0"/>
    <w:rsid w:val="00E35194"/>
    <w:rsid w:val="00E360CA"/>
    <w:rsid w:val="00E36E36"/>
    <w:rsid w:val="00E37930"/>
    <w:rsid w:val="00E37C95"/>
    <w:rsid w:val="00E40C90"/>
    <w:rsid w:val="00E41BFD"/>
    <w:rsid w:val="00E41D3E"/>
    <w:rsid w:val="00E422F2"/>
    <w:rsid w:val="00E42C6B"/>
    <w:rsid w:val="00E431D5"/>
    <w:rsid w:val="00E43430"/>
    <w:rsid w:val="00E456FC"/>
    <w:rsid w:val="00E46871"/>
    <w:rsid w:val="00E4798D"/>
    <w:rsid w:val="00E47AB9"/>
    <w:rsid w:val="00E50B3D"/>
    <w:rsid w:val="00E50DF4"/>
    <w:rsid w:val="00E510C3"/>
    <w:rsid w:val="00E512A7"/>
    <w:rsid w:val="00E516B2"/>
    <w:rsid w:val="00E52243"/>
    <w:rsid w:val="00E52485"/>
    <w:rsid w:val="00E52677"/>
    <w:rsid w:val="00E52CE9"/>
    <w:rsid w:val="00E52E1C"/>
    <w:rsid w:val="00E52EE8"/>
    <w:rsid w:val="00E5318F"/>
    <w:rsid w:val="00E537C2"/>
    <w:rsid w:val="00E543BA"/>
    <w:rsid w:val="00E545AE"/>
    <w:rsid w:val="00E55C55"/>
    <w:rsid w:val="00E56F24"/>
    <w:rsid w:val="00E57079"/>
    <w:rsid w:val="00E57E0B"/>
    <w:rsid w:val="00E606C0"/>
    <w:rsid w:val="00E607B9"/>
    <w:rsid w:val="00E61EA3"/>
    <w:rsid w:val="00E622B3"/>
    <w:rsid w:val="00E62A94"/>
    <w:rsid w:val="00E62CB2"/>
    <w:rsid w:val="00E64092"/>
    <w:rsid w:val="00E6599A"/>
    <w:rsid w:val="00E659BC"/>
    <w:rsid w:val="00E65B25"/>
    <w:rsid w:val="00E660DF"/>
    <w:rsid w:val="00E66245"/>
    <w:rsid w:val="00E66695"/>
    <w:rsid w:val="00E66B99"/>
    <w:rsid w:val="00E67AE1"/>
    <w:rsid w:val="00E67C2A"/>
    <w:rsid w:val="00E700F9"/>
    <w:rsid w:val="00E714FE"/>
    <w:rsid w:val="00E7163D"/>
    <w:rsid w:val="00E71BE0"/>
    <w:rsid w:val="00E75F06"/>
    <w:rsid w:val="00E76237"/>
    <w:rsid w:val="00E76980"/>
    <w:rsid w:val="00E8036E"/>
    <w:rsid w:val="00E82560"/>
    <w:rsid w:val="00E82F24"/>
    <w:rsid w:val="00E830E3"/>
    <w:rsid w:val="00E83B9F"/>
    <w:rsid w:val="00E84F32"/>
    <w:rsid w:val="00E861DF"/>
    <w:rsid w:val="00E86426"/>
    <w:rsid w:val="00E86D8C"/>
    <w:rsid w:val="00E8739B"/>
    <w:rsid w:val="00E873E3"/>
    <w:rsid w:val="00E87C79"/>
    <w:rsid w:val="00E87CB6"/>
    <w:rsid w:val="00E9215F"/>
    <w:rsid w:val="00E927C9"/>
    <w:rsid w:val="00E9648C"/>
    <w:rsid w:val="00E96E1B"/>
    <w:rsid w:val="00E970A5"/>
    <w:rsid w:val="00E97411"/>
    <w:rsid w:val="00E975B6"/>
    <w:rsid w:val="00E97D96"/>
    <w:rsid w:val="00EA006F"/>
    <w:rsid w:val="00EA05E3"/>
    <w:rsid w:val="00EA0C45"/>
    <w:rsid w:val="00EA1222"/>
    <w:rsid w:val="00EA1940"/>
    <w:rsid w:val="00EA322A"/>
    <w:rsid w:val="00EA47B4"/>
    <w:rsid w:val="00EA4B62"/>
    <w:rsid w:val="00EA5640"/>
    <w:rsid w:val="00EA5A7F"/>
    <w:rsid w:val="00EB0314"/>
    <w:rsid w:val="00EB0501"/>
    <w:rsid w:val="00EB0A71"/>
    <w:rsid w:val="00EB235C"/>
    <w:rsid w:val="00EB2C7E"/>
    <w:rsid w:val="00EB31BF"/>
    <w:rsid w:val="00EB37E6"/>
    <w:rsid w:val="00EB3CB7"/>
    <w:rsid w:val="00EB493A"/>
    <w:rsid w:val="00EB53F6"/>
    <w:rsid w:val="00EB5661"/>
    <w:rsid w:val="00EB6A8E"/>
    <w:rsid w:val="00EB7BEB"/>
    <w:rsid w:val="00EC1EB1"/>
    <w:rsid w:val="00EC2AC1"/>
    <w:rsid w:val="00EC3812"/>
    <w:rsid w:val="00EC3BF9"/>
    <w:rsid w:val="00EC4AB4"/>
    <w:rsid w:val="00EC5BE5"/>
    <w:rsid w:val="00EC64CC"/>
    <w:rsid w:val="00EC6598"/>
    <w:rsid w:val="00EC66EF"/>
    <w:rsid w:val="00EC69AC"/>
    <w:rsid w:val="00EC6C99"/>
    <w:rsid w:val="00EC6E9F"/>
    <w:rsid w:val="00ED095D"/>
    <w:rsid w:val="00ED0B8D"/>
    <w:rsid w:val="00ED3088"/>
    <w:rsid w:val="00ED45F8"/>
    <w:rsid w:val="00ED46AC"/>
    <w:rsid w:val="00ED49DD"/>
    <w:rsid w:val="00ED575A"/>
    <w:rsid w:val="00ED5A35"/>
    <w:rsid w:val="00ED5AC8"/>
    <w:rsid w:val="00ED6AEB"/>
    <w:rsid w:val="00ED7594"/>
    <w:rsid w:val="00ED79AD"/>
    <w:rsid w:val="00EE1599"/>
    <w:rsid w:val="00EE31D3"/>
    <w:rsid w:val="00EE3284"/>
    <w:rsid w:val="00EE366C"/>
    <w:rsid w:val="00EE3885"/>
    <w:rsid w:val="00EE3BF2"/>
    <w:rsid w:val="00EE4F97"/>
    <w:rsid w:val="00EE5825"/>
    <w:rsid w:val="00EE5E03"/>
    <w:rsid w:val="00EE69AB"/>
    <w:rsid w:val="00EE7C24"/>
    <w:rsid w:val="00EF1035"/>
    <w:rsid w:val="00EF1CB7"/>
    <w:rsid w:val="00EF3F85"/>
    <w:rsid w:val="00EF4C03"/>
    <w:rsid w:val="00EF5719"/>
    <w:rsid w:val="00EF648A"/>
    <w:rsid w:val="00EF655E"/>
    <w:rsid w:val="00EF6774"/>
    <w:rsid w:val="00EF7157"/>
    <w:rsid w:val="00EF7365"/>
    <w:rsid w:val="00F00FF4"/>
    <w:rsid w:val="00F0178C"/>
    <w:rsid w:val="00F050FE"/>
    <w:rsid w:val="00F058EA"/>
    <w:rsid w:val="00F06C9C"/>
    <w:rsid w:val="00F0737C"/>
    <w:rsid w:val="00F07B52"/>
    <w:rsid w:val="00F110CA"/>
    <w:rsid w:val="00F11F12"/>
    <w:rsid w:val="00F12412"/>
    <w:rsid w:val="00F13FD8"/>
    <w:rsid w:val="00F140B9"/>
    <w:rsid w:val="00F146B1"/>
    <w:rsid w:val="00F14B1B"/>
    <w:rsid w:val="00F15A84"/>
    <w:rsid w:val="00F15E0C"/>
    <w:rsid w:val="00F17E10"/>
    <w:rsid w:val="00F20853"/>
    <w:rsid w:val="00F210AF"/>
    <w:rsid w:val="00F224A0"/>
    <w:rsid w:val="00F229E6"/>
    <w:rsid w:val="00F23513"/>
    <w:rsid w:val="00F237CF"/>
    <w:rsid w:val="00F249C3"/>
    <w:rsid w:val="00F24C66"/>
    <w:rsid w:val="00F26496"/>
    <w:rsid w:val="00F2665E"/>
    <w:rsid w:val="00F26906"/>
    <w:rsid w:val="00F272A3"/>
    <w:rsid w:val="00F27977"/>
    <w:rsid w:val="00F30E87"/>
    <w:rsid w:val="00F31084"/>
    <w:rsid w:val="00F31E39"/>
    <w:rsid w:val="00F325FD"/>
    <w:rsid w:val="00F32A8A"/>
    <w:rsid w:val="00F32B52"/>
    <w:rsid w:val="00F33212"/>
    <w:rsid w:val="00F34593"/>
    <w:rsid w:val="00F35531"/>
    <w:rsid w:val="00F36072"/>
    <w:rsid w:val="00F364EE"/>
    <w:rsid w:val="00F366D1"/>
    <w:rsid w:val="00F37014"/>
    <w:rsid w:val="00F4035C"/>
    <w:rsid w:val="00F40C88"/>
    <w:rsid w:val="00F40E92"/>
    <w:rsid w:val="00F40F09"/>
    <w:rsid w:val="00F410FE"/>
    <w:rsid w:val="00F423CC"/>
    <w:rsid w:val="00F42516"/>
    <w:rsid w:val="00F42944"/>
    <w:rsid w:val="00F4328A"/>
    <w:rsid w:val="00F43B45"/>
    <w:rsid w:val="00F43D06"/>
    <w:rsid w:val="00F43E88"/>
    <w:rsid w:val="00F445B8"/>
    <w:rsid w:val="00F44CA6"/>
    <w:rsid w:val="00F46A57"/>
    <w:rsid w:val="00F47D59"/>
    <w:rsid w:val="00F504DA"/>
    <w:rsid w:val="00F50853"/>
    <w:rsid w:val="00F525BF"/>
    <w:rsid w:val="00F528C9"/>
    <w:rsid w:val="00F5323F"/>
    <w:rsid w:val="00F53532"/>
    <w:rsid w:val="00F54294"/>
    <w:rsid w:val="00F5478E"/>
    <w:rsid w:val="00F54979"/>
    <w:rsid w:val="00F561EC"/>
    <w:rsid w:val="00F56F34"/>
    <w:rsid w:val="00F56F92"/>
    <w:rsid w:val="00F57BFA"/>
    <w:rsid w:val="00F60BC2"/>
    <w:rsid w:val="00F60CC0"/>
    <w:rsid w:val="00F60EC6"/>
    <w:rsid w:val="00F6154D"/>
    <w:rsid w:val="00F61644"/>
    <w:rsid w:val="00F617F3"/>
    <w:rsid w:val="00F61A16"/>
    <w:rsid w:val="00F62444"/>
    <w:rsid w:val="00F63109"/>
    <w:rsid w:val="00F638D7"/>
    <w:rsid w:val="00F6396C"/>
    <w:rsid w:val="00F63B4F"/>
    <w:rsid w:val="00F63FF6"/>
    <w:rsid w:val="00F6521D"/>
    <w:rsid w:val="00F65649"/>
    <w:rsid w:val="00F664E0"/>
    <w:rsid w:val="00F66CBD"/>
    <w:rsid w:val="00F6718A"/>
    <w:rsid w:val="00F67C37"/>
    <w:rsid w:val="00F710E8"/>
    <w:rsid w:val="00F71D34"/>
    <w:rsid w:val="00F72B63"/>
    <w:rsid w:val="00F73226"/>
    <w:rsid w:val="00F732C9"/>
    <w:rsid w:val="00F74FC6"/>
    <w:rsid w:val="00F76085"/>
    <w:rsid w:val="00F7721F"/>
    <w:rsid w:val="00F77277"/>
    <w:rsid w:val="00F7773B"/>
    <w:rsid w:val="00F82F82"/>
    <w:rsid w:val="00F838E9"/>
    <w:rsid w:val="00F841C3"/>
    <w:rsid w:val="00F842A7"/>
    <w:rsid w:val="00F8476D"/>
    <w:rsid w:val="00F853F4"/>
    <w:rsid w:val="00F86A42"/>
    <w:rsid w:val="00F90996"/>
    <w:rsid w:val="00F909CD"/>
    <w:rsid w:val="00F90C5B"/>
    <w:rsid w:val="00F91253"/>
    <w:rsid w:val="00F9132D"/>
    <w:rsid w:val="00F916C4"/>
    <w:rsid w:val="00F91FE1"/>
    <w:rsid w:val="00F9304B"/>
    <w:rsid w:val="00F93086"/>
    <w:rsid w:val="00F94324"/>
    <w:rsid w:val="00F947B2"/>
    <w:rsid w:val="00F95795"/>
    <w:rsid w:val="00F96552"/>
    <w:rsid w:val="00F97D5D"/>
    <w:rsid w:val="00F97DAB"/>
    <w:rsid w:val="00F97FED"/>
    <w:rsid w:val="00FA0812"/>
    <w:rsid w:val="00FA1FA5"/>
    <w:rsid w:val="00FA2634"/>
    <w:rsid w:val="00FA30F7"/>
    <w:rsid w:val="00FA3453"/>
    <w:rsid w:val="00FA3479"/>
    <w:rsid w:val="00FA491B"/>
    <w:rsid w:val="00FB1071"/>
    <w:rsid w:val="00FB1FA0"/>
    <w:rsid w:val="00FB23FD"/>
    <w:rsid w:val="00FB256B"/>
    <w:rsid w:val="00FB3237"/>
    <w:rsid w:val="00FB3CAB"/>
    <w:rsid w:val="00FB3E17"/>
    <w:rsid w:val="00FB467D"/>
    <w:rsid w:val="00FB5D5F"/>
    <w:rsid w:val="00FB6457"/>
    <w:rsid w:val="00FB6E62"/>
    <w:rsid w:val="00FB7776"/>
    <w:rsid w:val="00FB78CF"/>
    <w:rsid w:val="00FB7B15"/>
    <w:rsid w:val="00FB7E30"/>
    <w:rsid w:val="00FC0D96"/>
    <w:rsid w:val="00FC17F3"/>
    <w:rsid w:val="00FC3731"/>
    <w:rsid w:val="00FC3C1E"/>
    <w:rsid w:val="00FC3E8C"/>
    <w:rsid w:val="00FC3FFC"/>
    <w:rsid w:val="00FC618A"/>
    <w:rsid w:val="00FD181E"/>
    <w:rsid w:val="00FD26D6"/>
    <w:rsid w:val="00FD63E4"/>
    <w:rsid w:val="00FD65B5"/>
    <w:rsid w:val="00FD6C2C"/>
    <w:rsid w:val="00FE1468"/>
    <w:rsid w:val="00FE1B27"/>
    <w:rsid w:val="00FE1B4B"/>
    <w:rsid w:val="00FE2119"/>
    <w:rsid w:val="00FE27D9"/>
    <w:rsid w:val="00FE29B5"/>
    <w:rsid w:val="00FE319C"/>
    <w:rsid w:val="00FE31B2"/>
    <w:rsid w:val="00FE399E"/>
    <w:rsid w:val="00FE3AD6"/>
    <w:rsid w:val="00FE49D0"/>
    <w:rsid w:val="00FE4C4E"/>
    <w:rsid w:val="00FE5145"/>
    <w:rsid w:val="00FE543A"/>
    <w:rsid w:val="00FE73F0"/>
    <w:rsid w:val="00FE7A5A"/>
    <w:rsid w:val="00FE7DB0"/>
    <w:rsid w:val="00FF1064"/>
    <w:rsid w:val="00FF1FA3"/>
    <w:rsid w:val="00FF221A"/>
    <w:rsid w:val="00FF252E"/>
    <w:rsid w:val="00FF2768"/>
    <w:rsid w:val="00FF38FF"/>
    <w:rsid w:val="00FF3BC7"/>
    <w:rsid w:val="00FF4D04"/>
    <w:rsid w:val="00FF56EE"/>
    <w:rsid w:val="00FF59F5"/>
    <w:rsid w:val="00FF6A3C"/>
    <w:rsid w:val="00FF7068"/>
    <w:rsid w:val="00FF7226"/>
    <w:rsid w:val="00FF7BF0"/>
    <w:rsid w:val="0F61449D"/>
    <w:rsid w:val="1918466D"/>
    <w:rsid w:val="1E05C0E2"/>
    <w:rsid w:val="287B87F5"/>
    <w:rsid w:val="39D7AF01"/>
    <w:rsid w:val="5A320350"/>
    <w:rsid w:val="5E000035"/>
    <w:rsid w:val="69A019AC"/>
    <w:rsid w:val="73E48C2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C6ED67"/>
  <w15:chartTrackingRefBased/>
  <w15:docId w15:val="{2C4097C3-3689-497C-8F25-D478658D4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258E"/>
    <w:pPr>
      <w:autoSpaceDE w:val="0"/>
      <w:autoSpaceDN w:val="0"/>
      <w:adjustRightInd w:val="0"/>
      <w:snapToGrid w:val="0"/>
      <w:spacing w:after="120" w:line="240" w:lineRule="auto"/>
      <w:jc w:val="both"/>
    </w:pPr>
    <w:rPr>
      <w:rFonts w:ascii="Times New Roman" w:hAnsi="Times New Roman" w:cs="Times New Roma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380B12"/>
    <w:pPr>
      <w:keepNext/>
      <w:spacing w:before="120"/>
      <w:outlineLvl w:val="0"/>
    </w:pPr>
    <w:rPr>
      <w:b/>
      <w:bCs/>
      <w:sz w:val="28"/>
      <w:szCs w:val="28"/>
    </w:rPr>
  </w:style>
  <w:style w:type="paragraph" w:styleId="Heading2">
    <w:name w:val="heading 2"/>
    <w:basedOn w:val="Normal"/>
    <w:next w:val="Normal"/>
    <w:link w:val="Heading2Char"/>
    <w:uiPriority w:val="9"/>
    <w:qFormat/>
    <w:rsid w:val="00380B12"/>
    <w:pPr>
      <w:keepNext/>
      <w:spacing w:before="120"/>
      <w:outlineLvl w:val="1"/>
    </w:pPr>
    <w:rPr>
      <w:b/>
      <w:bCs/>
      <w:sz w:val="24"/>
    </w:rPr>
  </w:style>
  <w:style w:type="paragraph" w:styleId="Heading3">
    <w:name w:val="heading 3"/>
    <w:basedOn w:val="Normal"/>
    <w:next w:val="Normal"/>
    <w:link w:val="Heading3Char"/>
    <w:qFormat/>
    <w:rsid w:val="00380B12"/>
    <w:pPr>
      <w:keepNext/>
      <w:numPr>
        <w:ilvl w:val="2"/>
        <w:numId w:val="1"/>
      </w:numPr>
      <w:spacing w:before="120"/>
      <w:outlineLvl w:val="2"/>
    </w:pPr>
    <w:rPr>
      <w:b/>
    </w:rPr>
  </w:style>
  <w:style w:type="paragraph" w:styleId="Heading4">
    <w:name w:val="heading 4"/>
    <w:basedOn w:val="Normal"/>
    <w:next w:val="Normal"/>
    <w:link w:val="Heading4Char"/>
    <w:qFormat/>
    <w:rsid w:val="00380B12"/>
    <w:pPr>
      <w:keepNext/>
      <w:numPr>
        <w:ilvl w:val="3"/>
        <w:numId w:val="1"/>
      </w:numPr>
      <w:spacing w:before="120"/>
      <w:outlineLvl w:val="3"/>
    </w:pPr>
    <w:rPr>
      <w:b/>
      <w:bCs/>
      <w:szCs w:val="28"/>
    </w:rPr>
  </w:style>
  <w:style w:type="paragraph" w:styleId="Heading5">
    <w:name w:val="heading 5"/>
    <w:basedOn w:val="Normal"/>
    <w:next w:val="Normal"/>
    <w:link w:val="Heading5Char"/>
    <w:qFormat/>
    <w:rsid w:val="00380B12"/>
    <w:pPr>
      <w:keepNext/>
      <w:numPr>
        <w:ilvl w:val="4"/>
        <w:numId w:val="1"/>
      </w:numPr>
      <w:spacing w:before="120"/>
      <w:outlineLvl w:val="4"/>
    </w:pPr>
    <w:rPr>
      <w:b/>
      <w:bCs/>
      <w:i/>
      <w:iCs/>
      <w:szCs w:val="26"/>
    </w:rPr>
  </w:style>
  <w:style w:type="paragraph" w:styleId="Heading6">
    <w:name w:val="heading 6"/>
    <w:basedOn w:val="Normal"/>
    <w:next w:val="Normal"/>
    <w:link w:val="Heading6Char"/>
    <w:qFormat/>
    <w:rsid w:val="00380B12"/>
    <w:pPr>
      <w:numPr>
        <w:ilvl w:val="5"/>
        <w:numId w:val="1"/>
      </w:numPr>
      <w:spacing w:before="240" w:after="60"/>
      <w:outlineLvl w:val="5"/>
    </w:pPr>
    <w:rPr>
      <w:b/>
      <w:bCs/>
    </w:rPr>
  </w:style>
  <w:style w:type="paragraph" w:styleId="Heading7">
    <w:name w:val="heading 7"/>
    <w:basedOn w:val="Normal"/>
    <w:next w:val="Normal"/>
    <w:link w:val="Heading7Char"/>
    <w:qFormat/>
    <w:rsid w:val="00380B12"/>
    <w:pPr>
      <w:numPr>
        <w:ilvl w:val="6"/>
        <w:numId w:val="1"/>
      </w:numPr>
      <w:spacing w:before="240" w:after="60"/>
      <w:outlineLvl w:val="6"/>
    </w:pPr>
    <w:rPr>
      <w:sz w:val="24"/>
      <w:szCs w:val="24"/>
    </w:rPr>
  </w:style>
  <w:style w:type="paragraph" w:styleId="Heading8">
    <w:name w:val="heading 8"/>
    <w:basedOn w:val="Normal"/>
    <w:next w:val="Normal"/>
    <w:link w:val="Heading8Char"/>
    <w:qFormat/>
    <w:rsid w:val="00380B12"/>
    <w:pPr>
      <w:numPr>
        <w:ilvl w:val="7"/>
        <w:numId w:val="1"/>
      </w:numPr>
      <w:spacing w:before="240" w:after="60"/>
      <w:outlineLvl w:val="7"/>
    </w:pPr>
    <w:rPr>
      <w:i/>
      <w:iCs/>
      <w:sz w:val="24"/>
      <w:szCs w:val="24"/>
    </w:rPr>
  </w:style>
  <w:style w:type="paragraph" w:styleId="Heading9">
    <w:name w:val="heading 9"/>
    <w:basedOn w:val="Normal"/>
    <w:next w:val="Normal"/>
    <w:link w:val="Heading9Char"/>
    <w:qFormat/>
    <w:rsid w:val="00380B12"/>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80B12"/>
    <w:rPr>
      <w:sz w:val="20"/>
      <w:szCs w:val="20"/>
    </w:rPr>
  </w:style>
  <w:style w:type="character" w:customStyle="1" w:styleId="BodyTextChar">
    <w:name w:val="Body Text Char"/>
    <w:basedOn w:val="DefaultParagraphFont"/>
    <w:link w:val="BodyText"/>
    <w:rsid w:val="00380B12"/>
    <w:rPr>
      <w:rFonts w:ascii="Times New Roman" w:eastAsia="SimSun" w:hAnsi="Times New Roman" w:cs="Times New Roman"/>
      <w:sz w:val="20"/>
      <w:szCs w:val="20"/>
    </w:rPr>
  </w:style>
  <w:style w:type="table" w:styleId="TableGrid">
    <w:name w:val="Table Grid"/>
    <w:basedOn w:val="TableNormal"/>
    <w:uiPriority w:val="59"/>
    <w:qFormat/>
    <w:rsid w:val="00380B12"/>
    <w:pPr>
      <w:widowControl w:val="0"/>
      <w:autoSpaceDE w:val="0"/>
      <w:autoSpaceDN w:val="0"/>
      <w:adjustRightInd w:val="0"/>
      <w:spacing w:after="120" w:line="240" w:lineRule="auto"/>
      <w:jc w:val="both"/>
    </w:pPr>
    <w:rPr>
      <w:rFonts w:ascii="Times New Roma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列出段落,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380B12"/>
    <w:pPr>
      <w:ind w:left="720"/>
      <w:contextualSpacing/>
    </w:pPr>
  </w:style>
  <w:style w:type="character" w:customStyle="1" w:styleId="ListParagraphChar">
    <w:name w:val="List Paragraph Char"/>
    <w:aliases w:val="- Bullets Char,목록 단락 Char,リスト段落 Char,?? ?? Char,????? Char,???? Char,列出段落 Char,Lista1 Char,列出段落1 Char,中等深浅网格 1 - 着色 21 Char,列表段落 Char,¥¡¡¡¡ì¬º¥¹¥È¶ÎÂä Char,ÁÐ³ö¶ÎÂä Char,列表段落1 Char,—ño’i—Ž Char,¥ê¥¹¥È¶ÎÂä Char,Paragrafo elenco Char"/>
    <w:link w:val="ListParagraph"/>
    <w:uiPriority w:val="34"/>
    <w:qFormat/>
    <w:rsid w:val="00380B12"/>
    <w:rPr>
      <w:rFonts w:ascii="Times New Roman" w:eastAsia="SimSun" w:hAnsi="Times New Roman" w:cs="Times New Roman"/>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380B12"/>
    <w:rPr>
      <w:rFonts w:ascii="Times New Roman" w:eastAsia="SimSun" w:hAnsi="Times New Roman" w:cs="Times New Roman"/>
      <w:b/>
      <w:bCs/>
      <w:sz w:val="28"/>
      <w:szCs w:val="28"/>
    </w:rPr>
  </w:style>
  <w:style w:type="character" w:customStyle="1" w:styleId="Heading2Char">
    <w:name w:val="Heading 2 Char"/>
    <w:basedOn w:val="DefaultParagraphFont"/>
    <w:link w:val="Heading2"/>
    <w:rsid w:val="00380B12"/>
    <w:rPr>
      <w:rFonts w:ascii="Times New Roman" w:eastAsia="SimSun" w:hAnsi="Times New Roman" w:cs="Times New Roman"/>
      <w:b/>
      <w:bCs/>
      <w:sz w:val="24"/>
    </w:rPr>
  </w:style>
  <w:style w:type="character" w:customStyle="1" w:styleId="Heading3Char">
    <w:name w:val="Heading 3 Char"/>
    <w:basedOn w:val="DefaultParagraphFont"/>
    <w:link w:val="Heading3"/>
    <w:rsid w:val="00380B12"/>
    <w:rPr>
      <w:rFonts w:ascii="Times New Roman" w:hAnsi="Times New Roman" w:cs="Times New Roman"/>
      <w:b/>
    </w:rPr>
  </w:style>
  <w:style w:type="character" w:customStyle="1" w:styleId="Heading4Char">
    <w:name w:val="Heading 4 Char"/>
    <w:basedOn w:val="DefaultParagraphFont"/>
    <w:link w:val="Heading4"/>
    <w:rsid w:val="00380B12"/>
    <w:rPr>
      <w:rFonts w:ascii="Times New Roman" w:hAnsi="Times New Roman" w:cs="Times New Roman"/>
      <w:b/>
      <w:bCs/>
      <w:szCs w:val="28"/>
    </w:rPr>
  </w:style>
  <w:style w:type="character" w:customStyle="1" w:styleId="Heading5Char">
    <w:name w:val="Heading 5 Char"/>
    <w:basedOn w:val="DefaultParagraphFont"/>
    <w:link w:val="Heading5"/>
    <w:rsid w:val="00380B12"/>
    <w:rPr>
      <w:rFonts w:ascii="Times New Roman" w:hAnsi="Times New Roman" w:cs="Times New Roman"/>
      <w:b/>
      <w:bCs/>
      <w:i/>
      <w:iCs/>
      <w:szCs w:val="26"/>
    </w:rPr>
  </w:style>
  <w:style w:type="character" w:customStyle="1" w:styleId="Heading6Char">
    <w:name w:val="Heading 6 Char"/>
    <w:basedOn w:val="DefaultParagraphFont"/>
    <w:link w:val="Heading6"/>
    <w:rsid w:val="00380B12"/>
    <w:rPr>
      <w:rFonts w:ascii="Times New Roman" w:hAnsi="Times New Roman" w:cs="Times New Roman"/>
      <w:b/>
      <w:bCs/>
    </w:rPr>
  </w:style>
  <w:style w:type="character" w:customStyle="1" w:styleId="Heading7Char">
    <w:name w:val="Heading 7 Char"/>
    <w:basedOn w:val="DefaultParagraphFont"/>
    <w:link w:val="Heading7"/>
    <w:rsid w:val="00380B12"/>
    <w:rPr>
      <w:rFonts w:ascii="Times New Roman" w:hAnsi="Times New Roman" w:cs="Times New Roman"/>
      <w:sz w:val="24"/>
      <w:szCs w:val="24"/>
    </w:rPr>
  </w:style>
  <w:style w:type="character" w:customStyle="1" w:styleId="Heading8Char">
    <w:name w:val="Heading 8 Char"/>
    <w:basedOn w:val="DefaultParagraphFont"/>
    <w:link w:val="Heading8"/>
    <w:rsid w:val="00380B12"/>
    <w:rPr>
      <w:rFonts w:ascii="Times New Roman" w:hAnsi="Times New Roman" w:cs="Times New Roman"/>
      <w:i/>
      <w:iCs/>
      <w:sz w:val="24"/>
      <w:szCs w:val="24"/>
    </w:rPr>
  </w:style>
  <w:style w:type="character" w:customStyle="1" w:styleId="Heading9Char">
    <w:name w:val="Heading 9 Char"/>
    <w:basedOn w:val="DefaultParagraphFont"/>
    <w:link w:val="Heading9"/>
    <w:rsid w:val="00380B12"/>
    <w:rPr>
      <w:rFonts w:ascii="Arial" w:hAnsi="Arial" w:cs="Arial"/>
    </w:rPr>
  </w:style>
  <w:style w:type="paragraph" w:customStyle="1" w:styleId="N1">
    <w:name w:val="N1"/>
    <w:basedOn w:val="Normal"/>
    <w:link w:val="N1Char"/>
    <w:qFormat/>
    <w:rsid w:val="00380B12"/>
    <w:pPr>
      <w:autoSpaceDE/>
      <w:autoSpaceDN/>
      <w:adjustRightInd/>
      <w:snapToGrid/>
      <w:spacing w:after="0"/>
      <w:ind w:left="634"/>
      <w:jc w:val="left"/>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380B12"/>
    <w:rPr>
      <w:rFonts w:eastAsiaTheme="minorEastAsia" w:cstheme="minorHAnsi"/>
      <w:lang w:eastAsia="ko-KR" w:bidi="hi-IN"/>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条目"/>
    <w:basedOn w:val="Normal"/>
    <w:next w:val="Normal"/>
    <w:link w:val="CaptionChar3"/>
    <w:uiPriority w:val="35"/>
    <w:qFormat/>
    <w:rsid w:val="001D4654"/>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1D4654"/>
    <w:rPr>
      <w:rFonts w:ascii="Times New Roman" w:eastAsia="SimSun" w:hAnsi="Times New Roman" w:cs="Times New Roman"/>
      <w:b/>
      <w:bCs/>
      <w:kern w:val="2"/>
      <w:sz w:val="20"/>
      <w:szCs w:val="20"/>
      <w:lang w:val="en-GB" w:eastAsia="zh-CN"/>
    </w:rPr>
  </w:style>
  <w:style w:type="table" w:customStyle="1" w:styleId="1">
    <w:name w:val="网格型1"/>
    <w:basedOn w:val="TableNormal"/>
    <w:next w:val="TableGrid"/>
    <w:uiPriority w:val="59"/>
    <w:rsid w:val="00A30E24"/>
    <w:pPr>
      <w:spacing w:after="0" w:line="240" w:lineRule="auto"/>
    </w:pPr>
    <w:rPr>
      <w:rFonts w:ascii="CG Times (WN)" w:eastAsiaTheme="minorEastAsia"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597E69"/>
    <w:rPr>
      <w:rFonts w:ascii="Intel Clear" w:hAnsi="Intel Clear" w:cs="Intel Clear" w:hint="default"/>
      <w:b/>
      <w:bCs/>
      <w:i w:val="0"/>
      <w:iCs w:val="0"/>
      <w:color w:val="FFFFFF"/>
      <w:sz w:val="18"/>
      <w:szCs w:val="18"/>
    </w:rPr>
  </w:style>
  <w:style w:type="character" w:customStyle="1" w:styleId="Heading1Char1">
    <w:name w:val="Heading 1 Char1"/>
    <w:rsid w:val="004B56FF"/>
    <w:rPr>
      <w:rFonts w:ascii="Arial" w:hAnsi="Arial"/>
      <w:sz w:val="36"/>
      <w:lang w:val="en-GB"/>
    </w:rPr>
  </w:style>
  <w:style w:type="paragraph" w:styleId="BalloonText">
    <w:name w:val="Balloon Text"/>
    <w:basedOn w:val="Normal"/>
    <w:link w:val="BalloonTextChar"/>
    <w:uiPriority w:val="99"/>
    <w:semiHidden/>
    <w:unhideWhenUsed/>
    <w:rsid w:val="00ED79A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D79AD"/>
    <w:rPr>
      <w:rFonts w:ascii="Segoe UI" w:eastAsia="SimSun" w:hAnsi="Segoe UI" w:cs="Segoe UI"/>
      <w:sz w:val="18"/>
      <w:szCs w:val="18"/>
    </w:rPr>
  </w:style>
  <w:style w:type="paragraph" w:customStyle="1" w:styleId="3GPPNormalText">
    <w:name w:val="3GPP Normal Text"/>
    <w:basedOn w:val="BodyText"/>
    <w:link w:val="3GPPNormalTextChar"/>
    <w:qFormat/>
    <w:rsid w:val="00DD70AC"/>
    <w:pPr>
      <w:autoSpaceDE/>
      <w:autoSpaceDN/>
      <w:adjustRightInd/>
      <w:snapToGrid/>
      <w:spacing w:after="60"/>
    </w:pPr>
    <w:rPr>
      <w:rFonts w:eastAsia="MS Mincho"/>
      <w:szCs w:val="24"/>
    </w:rPr>
  </w:style>
  <w:style w:type="character" w:customStyle="1" w:styleId="3GPPNormalTextChar">
    <w:name w:val="3GPP Normal Text Char"/>
    <w:link w:val="3GPPNormalText"/>
    <w:rsid w:val="00DD70AC"/>
    <w:rPr>
      <w:rFonts w:ascii="Times New Roman" w:eastAsia="MS Mincho" w:hAnsi="Times New Roman" w:cs="Times New Roman"/>
      <w:sz w:val="20"/>
      <w:szCs w:val="24"/>
    </w:rPr>
  </w:style>
  <w:style w:type="character" w:styleId="CommentReference">
    <w:name w:val="annotation reference"/>
    <w:basedOn w:val="DefaultParagraphFont"/>
    <w:uiPriority w:val="99"/>
    <w:semiHidden/>
    <w:unhideWhenUsed/>
    <w:rsid w:val="00481CA9"/>
    <w:rPr>
      <w:sz w:val="16"/>
      <w:szCs w:val="16"/>
    </w:rPr>
  </w:style>
  <w:style w:type="paragraph" w:styleId="CommentText">
    <w:name w:val="annotation text"/>
    <w:basedOn w:val="Normal"/>
    <w:link w:val="CommentTextChar"/>
    <w:uiPriority w:val="99"/>
    <w:unhideWhenUsed/>
    <w:rsid w:val="00481CA9"/>
    <w:rPr>
      <w:sz w:val="20"/>
      <w:szCs w:val="20"/>
    </w:rPr>
  </w:style>
  <w:style w:type="character" w:customStyle="1" w:styleId="CommentTextChar">
    <w:name w:val="Comment Text Char"/>
    <w:basedOn w:val="DefaultParagraphFont"/>
    <w:link w:val="CommentText"/>
    <w:uiPriority w:val="99"/>
    <w:rsid w:val="00481CA9"/>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81CA9"/>
    <w:rPr>
      <w:b/>
      <w:bCs/>
    </w:rPr>
  </w:style>
  <w:style w:type="character" w:customStyle="1" w:styleId="CommentSubjectChar">
    <w:name w:val="Comment Subject Char"/>
    <w:basedOn w:val="CommentTextChar"/>
    <w:link w:val="CommentSubject"/>
    <w:uiPriority w:val="99"/>
    <w:semiHidden/>
    <w:rsid w:val="00481CA9"/>
    <w:rPr>
      <w:rFonts w:ascii="Times New Roman" w:eastAsia="SimSun" w:hAnsi="Times New Roman" w:cs="Times New Roman"/>
      <w:b/>
      <w:bCs/>
      <w:sz w:val="20"/>
      <w:szCs w:val="20"/>
    </w:rPr>
  </w:style>
  <w:style w:type="paragraph" w:styleId="Header">
    <w:name w:val="header"/>
    <w:basedOn w:val="Normal"/>
    <w:link w:val="HeaderChar"/>
    <w:uiPriority w:val="99"/>
    <w:unhideWhenUsed/>
    <w:rsid w:val="004C0876"/>
    <w:pPr>
      <w:tabs>
        <w:tab w:val="center" w:pos="4680"/>
        <w:tab w:val="right" w:pos="9360"/>
      </w:tabs>
      <w:spacing w:after="0"/>
    </w:pPr>
  </w:style>
  <w:style w:type="character" w:customStyle="1" w:styleId="HeaderChar">
    <w:name w:val="Header Char"/>
    <w:basedOn w:val="DefaultParagraphFont"/>
    <w:link w:val="Header"/>
    <w:uiPriority w:val="99"/>
    <w:rsid w:val="004C0876"/>
    <w:rPr>
      <w:rFonts w:ascii="Times New Roman" w:eastAsia="SimSun" w:hAnsi="Times New Roman" w:cs="Times New Roman"/>
    </w:rPr>
  </w:style>
  <w:style w:type="paragraph" w:styleId="Footer">
    <w:name w:val="footer"/>
    <w:basedOn w:val="Normal"/>
    <w:link w:val="FooterChar"/>
    <w:uiPriority w:val="99"/>
    <w:unhideWhenUsed/>
    <w:rsid w:val="004C0876"/>
    <w:pPr>
      <w:tabs>
        <w:tab w:val="center" w:pos="4680"/>
        <w:tab w:val="right" w:pos="9360"/>
      </w:tabs>
      <w:spacing w:after="0"/>
    </w:pPr>
  </w:style>
  <w:style w:type="character" w:customStyle="1" w:styleId="FooterChar">
    <w:name w:val="Footer Char"/>
    <w:basedOn w:val="DefaultParagraphFont"/>
    <w:link w:val="Footer"/>
    <w:uiPriority w:val="99"/>
    <w:rsid w:val="004C0876"/>
    <w:rPr>
      <w:rFonts w:ascii="Times New Roman" w:eastAsia="SimSun" w:hAnsi="Times New Roman" w:cs="Times New Roman"/>
    </w:rPr>
  </w:style>
  <w:style w:type="character" w:styleId="Hyperlink">
    <w:name w:val="Hyperlink"/>
    <w:uiPriority w:val="99"/>
    <w:semiHidden/>
    <w:unhideWhenUsed/>
    <w:rsid w:val="008A2A8E"/>
    <w:rPr>
      <w:color w:val="0000FF"/>
      <w:u w:val="single"/>
    </w:rPr>
  </w:style>
  <w:style w:type="paragraph" w:customStyle="1" w:styleId="B1">
    <w:name w:val="B1"/>
    <w:basedOn w:val="Normal"/>
    <w:link w:val="B1Zchn"/>
    <w:qFormat/>
    <w:rsid w:val="004E75BE"/>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4E75BE"/>
    <w:rPr>
      <w:rFonts w:ascii="Times New Roman" w:eastAsia="Times New Roman" w:hAnsi="Times New Roman" w:cs="Times New Roman"/>
      <w:sz w:val="20"/>
      <w:szCs w:val="20"/>
      <w:lang w:val="x-none"/>
    </w:rPr>
  </w:style>
  <w:style w:type="character" w:customStyle="1" w:styleId="normaltextrun">
    <w:name w:val="normaltextrun"/>
    <w:basedOn w:val="DefaultParagraphFont"/>
    <w:rsid w:val="002E6500"/>
  </w:style>
  <w:style w:type="character" w:customStyle="1" w:styleId="eop">
    <w:name w:val="eop"/>
    <w:basedOn w:val="DefaultParagraphFont"/>
    <w:rsid w:val="002E6500"/>
  </w:style>
  <w:style w:type="character" w:customStyle="1" w:styleId="B1Char1">
    <w:name w:val="B1 Char1"/>
    <w:qFormat/>
    <w:rsid w:val="001D4BE1"/>
    <w:rPr>
      <w:rFonts w:ascii="Times New Roman" w:eastAsia="Times New Roman" w:hAnsi="Times New Roman" w:cs="Times New Roman"/>
      <w:sz w:val="20"/>
      <w:szCs w:val="20"/>
      <w:lang w:val="en-GB" w:eastAsia="en-GB"/>
    </w:rPr>
  </w:style>
  <w:style w:type="paragraph" w:customStyle="1" w:styleId="TAH">
    <w:name w:val="TAH"/>
    <w:basedOn w:val="TAC"/>
    <w:link w:val="TAHCar"/>
    <w:qFormat/>
    <w:rsid w:val="00B276B7"/>
    <w:rPr>
      <w:b/>
    </w:rPr>
  </w:style>
  <w:style w:type="paragraph" w:customStyle="1" w:styleId="TAC">
    <w:name w:val="TAC"/>
    <w:basedOn w:val="Normal"/>
    <w:link w:val="TACChar"/>
    <w:qFormat/>
    <w:rsid w:val="00B276B7"/>
    <w:pPr>
      <w:keepNext/>
      <w:keepLines/>
      <w:autoSpaceDE/>
      <w:autoSpaceDN/>
      <w:adjustRightInd/>
      <w:snapToGrid/>
      <w:spacing w:after="0"/>
      <w:jc w:val="center"/>
    </w:pPr>
    <w:rPr>
      <w:rFonts w:ascii="Arial" w:eastAsia="Times New Roman" w:hAnsi="Arial"/>
      <w:sz w:val="18"/>
      <w:szCs w:val="20"/>
      <w:lang w:val="x-none"/>
    </w:rPr>
  </w:style>
  <w:style w:type="paragraph" w:customStyle="1" w:styleId="TH">
    <w:name w:val="TH"/>
    <w:basedOn w:val="Normal"/>
    <w:link w:val="THChar"/>
    <w:qFormat/>
    <w:rsid w:val="00B276B7"/>
    <w:pPr>
      <w:keepNext/>
      <w:keepLines/>
      <w:autoSpaceDE/>
      <w:autoSpaceDN/>
      <w:adjustRightInd/>
      <w:snapToGrid/>
      <w:spacing w:before="60" w:after="180"/>
      <w:jc w:val="center"/>
    </w:pPr>
    <w:rPr>
      <w:rFonts w:ascii="Arial" w:eastAsia="Times New Roman" w:hAnsi="Arial"/>
      <w:b/>
      <w:sz w:val="20"/>
      <w:szCs w:val="20"/>
      <w:lang w:val="x-none"/>
    </w:rPr>
  </w:style>
  <w:style w:type="character" w:customStyle="1" w:styleId="THChar">
    <w:name w:val="TH Char"/>
    <w:link w:val="TH"/>
    <w:qFormat/>
    <w:rsid w:val="00B276B7"/>
    <w:rPr>
      <w:rFonts w:ascii="Arial" w:eastAsia="Times New Roman" w:hAnsi="Arial" w:cs="Times New Roman"/>
      <w:b/>
      <w:sz w:val="20"/>
      <w:szCs w:val="20"/>
      <w:lang w:val="x-none"/>
    </w:rPr>
  </w:style>
  <w:style w:type="character" w:customStyle="1" w:styleId="TACChar">
    <w:name w:val="TAC Char"/>
    <w:link w:val="TAC"/>
    <w:qFormat/>
    <w:locked/>
    <w:rsid w:val="00B276B7"/>
    <w:rPr>
      <w:rFonts w:ascii="Arial" w:eastAsia="Times New Roman" w:hAnsi="Arial" w:cs="Times New Roman"/>
      <w:sz w:val="18"/>
      <w:szCs w:val="20"/>
      <w:lang w:val="x-none"/>
    </w:rPr>
  </w:style>
  <w:style w:type="character" w:customStyle="1" w:styleId="TAHCar">
    <w:name w:val="TAH Car"/>
    <w:link w:val="TAH"/>
    <w:qFormat/>
    <w:rsid w:val="00B276B7"/>
    <w:rPr>
      <w:rFonts w:ascii="Arial" w:eastAsia="Times New Roman" w:hAnsi="Arial" w:cs="Times New Roman"/>
      <w:b/>
      <w:sz w:val="18"/>
      <w:szCs w:val="20"/>
      <w:lang w:val="x-none"/>
    </w:rPr>
  </w:style>
  <w:style w:type="paragraph" w:customStyle="1" w:styleId="EQ">
    <w:name w:val="EQ"/>
    <w:basedOn w:val="Normal"/>
    <w:next w:val="Normal"/>
    <w:qFormat/>
    <w:rsid w:val="00C16E63"/>
    <w:pPr>
      <w:keepLines/>
      <w:tabs>
        <w:tab w:val="center" w:pos="4536"/>
        <w:tab w:val="right" w:pos="9072"/>
      </w:tabs>
      <w:autoSpaceDE/>
      <w:autoSpaceDN/>
      <w:adjustRightInd/>
      <w:snapToGrid/>
      <w:spacing w:after="180"/>
      <w:jc w:val="left"/>
    </w:pPr>
    <w:rPr>
      <w:noProof/>
      <w:sz w:val="20"/>
      <w:szCs w:val="20"/>
      <w:lang w:val="en-GB"/>
    </w:rPr>
  </w:style>
  <w:style w:type="paragraph" w:customStyle="1" w:styleId="B2">
    <w:name w:val="B2"/>
    <w:basedOn w:val="Normal"/>
    <w:link w:val="B2Char"/>
    <w:qFormat/>
    <w:rsid w:val="00AD7A8A"/>
    <w:pPr>
      <w:autoSpaceDE/>
      <w:autoSpaceDN/>
      <w:adjustRightInd/>
      <w:snapToGrid/>
      <w:spacing w:after="180"/>
      <w:ind w:left="851" w:hanging="284"/>
      <w:jc w:val="left"/>
    </w:pPr>
    <w:rPr>
      <w:rFonts w:eastAsiaTheme="minorEastAsia"/>
      <w:sz w:val="20"/>
      <w:szCs w:val="20"/>
      <w:lang w:val="en-GB"/>
    </w:rPr>
  </w:style>
  <w:style w:type="paragraph" w:styleId="ListNumber3">
    <w:name w:val="List Number 3"/>
    <w:basedOn w:val="ListNumber2"/>
    <w:qFormat/>
    <w:rsid w:val="00AD7A8A"/>
    <w:pPr>
      <w:numPr>
        <w:numId w:val="5"/>
      </w:numPr>
      <w:tabs>
        <w:tab w:val="num" w:pos="432"/>
      </w:tabs>
      <w:autoSpaceDE/>
      <w:autoSpaceDN/>
      <w:adjustRightInd/>
      <w:snapToGrid/>
      <w:spacing w:line="254" w:lineRule="auto"/>
      <w:ind w:left="720" w:hanging="432"/>
    </w:pPr>
    <w:rPr>
      <w:rFonts w:ascii="Calibri" w:eastAsia="Times New Roman" w:hAnsi="Calibri"/>
      <w:lang w:eastAsia="ja-JP"/>
    </w:rPr>
  </w:style>
  <w:style w:type="character" w:customStyle="1" w:styleId="B2Char">
    <w:name w:val="B2 Char"/>
    <w:link w:val="B2"/>
    <w:qFormat/>
    <w:rsid w:val="00AD7A8A"/>
    <w:rPr>
      <w:rFonts w:ascii="Times New Roman" w:eastAsiaTheme="minorEastAsia" w:hAnsi="Times New Roman" w:cs="Times New Roman"/>
      <w:sz w:val="20"/>
      <w:szCs w:val="20"/>
      <w:lang w:val="en-GB"/>
    </w:rPr>
  </w:style>
  <w:style w:type="paragraph" w:styleId="ListNumber2">
    <w:name w:val="List Number 2"/>
    <w:basedOn w:val="Normal"/>
    <w:uiPriority w:val="99"/>
    <w:semiHidden/>
    <w:unhideWhenUsed/>
    <w:rsid w:val="00AD7A8A"/>
    <w:pPr>
      <w:numPr>
        <w:numId w:val="6"/>
      </w:numPr>
      <w:contextualSpacing/>
    </w:pPr>
  </w:style>
  <w:style w:type="character" w:styleId="UnresolvedMention">
    <w:name w:val="Unresolved Mention"/>
    <w:basedOn w:val="DefaultParagraphFont"/>
    <w:uiPriority w:val="99"/>
    <w:unhideWhenUsed/>
    <w:rsid w:val="00FE2119"/>
    <w:rPr>
      <w:color w:val="605E5C"/>
      <w:shd w:val="clear" w:color="auto" w:fill="E1DFDD"/>
    </w:rPr>
  </w:style>
  <w:style w:type="character" w:styleId="Mention">
    <w:name w:val="Mention"/>
    <w:basedOn w:val="DefaultParagraphFont"/>
    <w:uiPriority w:val="99"/>
    <w:unhideWhenUsed/>
    <w:rsid w:val="00FE2119"/>
    <w:rPr>
      <w:color w:val="2B579A"/>
      <w:shd w:val="clear" w:color="auto" w:fill="E1DFDD"/>
    </w:rPr>
  </w:style>
  <w:style w:type="paragraph" w:styleId="Revision">
    <w:name w:val="Revision"/>
    <w:hidden/>
    <w:uiPriority w:val="99"/>
    <w:semiHidden/>
    <w:rsid w:val="002918F3"/>
    <w:pPr>
      <w:spacing w:after="0" w:line="240" w:lineRule="auto"/>
    </w:pPr>
    <w:rPr>
      <w:rFonts w:ascii="Times New Roman" w:hAnsi="Times New Roman" w:cs="Times New Roman"/>
    </w:rPr>
  </w:style>
  <w:style w:type="paragraph" w:customStyle="1" w:styleId="CRCoverPage">
    <w:name w:val="CR Cover Page"/>
    <w:rsid w:val="002A409A"/>
    <w:pPr>
      <w:spacing w:after="120" w:line="240" w:lineRule="auto"/>
    </w:pPr>
    <w:rPr>
      <w:rFonts w:ascii="Arial" w:hAnsi="Arial" w:cs="Times New Roman"/>
      <w:sz w:val="20"/>
      <w:szCs w:val="20"/>
      <w:lang w:val="en-GB"/>
    </w:rPr>
  </w:style>
  <w:style w:type="character" w:styleId="PlaceholderText">
    <w:name w:val="Placeholder Text"/>
    <w:basedOn w:val="DefaultParagraphFont"/>
    <w:uiPriority w:val="99"/>
    <w:semiHidden/>
    <w:rsid w:val="00F71D3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92259">
      <w:bodyDiv w:val="1"/>
      <w:marLeft w:val="0"/>
      <w:marRight w:val="0"/>
      <w:marTop w:val="0"/>
      <w:marBottom w:val="0"/>
      <w:divBdr>
        <w:top w:val="none" w:sz="0" w:space="0" w:color="auto"/>
        <w:left w:val="none" w:sz="0" w:space="0" w:color="auto"/>
        <w:bottom w:val="none" w:sz="0" w:space="0" w:color="auto"/>
        <w:right w:val="none" w:sz="0" w:space="0" w:color="auto"/>
      </w:divBdr>
    </w:div>
    <w:div w:id="32075477">
      <w:bodyDiv w:val="1"/>
      <w:marLeft w:val="0"/>
      <w:marRight w:val="0"/>
      <w:marTop w:val="0"/>
      <w:marBottom w:val="0"/>
      <w:divBdr>
        <w:top w:val="none" w:sz="0" w:space="0" w:color="auto"/>
        <w:left w:val="none" w:sz="0" w:space="0" w:color="auto"/>
        <w:bottom w:val="none" w:sz="0" w:space="0" w:color="auto"/>
        <w:right w:val="none" w:sz="0" w:space="0" w:color="auto"/>
      </w:divBdr>
    </w:div>
    <w:div w:id="36662852">
      <w:bodyDiv w:val="1"/>
      <w:marLeft w:val="0"/>
      <w:marRight w:val="0"/>
      <w:marTop w:val="0"/>
      <w:marBottom w:val="0"/>
      <w:divBdr>
        <w:top w:val="none" w:sz="0" w:space="0" w:color="auto"/>
        <w:left w:val="none" w:sz="0" w:space="0" w:color="auto"/>
        <w:bottom w:val="none" w:sz="0" w:space="0" w:color="auto"/>
        <w:right w:val="none" w:sz="0" w:space="0" w:color="auto"/>
      </w:divBdr>
    </w:div>
    <w:div w:id="46534472">
      <w:bodyDiv w:val="1"/>
      <w:marLeft w:val="0"/>
      <w:marRight w:val="0"/>
      <w:marTop w:val="0"/>
      <w:marBottom w:val="0"/>
      <w:divBdr>
        <w:top w:val="none" w:sz="0" w:space="0" w:color="auto"/>
        <w:left w:val="none" w:sz="0" w:space="0" w:color="auto"/>
        <w:bottom w:val="none" w:sz="0" w:space="0" w:color="auto"/>
        <w:right w:val="none" w:sz="0" w:space="0" w:color="auto"/>
      </w:divBdr>
    </w:div>
    <w:div w:id="59643090">
      <w:bodyDiv w:val="1"/>
      <w:marLeft w:val="0"/>
      <w:marRight w:val="0"/>
      <w:marTop w:val="0"/>
      <w:marBottom w:val="0"/>
      <w:divBdr>
        <w:top w:val="none" w:sz="0" w:space="0" w:color="auto"/>
        <w:left w:val="none" w:sz="0" w:space="0" w:color="auto"/>
        <w:bottom w:val="none" w:sz="0" w:space="0" w:color="auto"/>
        <w:right w:val="none" w:sz="0" w:space="0" w:color="auto"/>
      </w:divBdr>
    </w:div>
    <w:div w:id="84108532">
      <w:bodyDiv w:val="1"/>
      <w:marLeft w:val="0"/>
      <w:marRight w:val="0"/>
      <w:marTop w:val="0"/>
      <w:marBottom w:val="0"/>
      <w:divBdr>
        <w:top w:val="none" w:sz="0" w:space="0" w:color="auto"/>
        <w:left w:val="none" w:sz="0" w:space="0" w:color="auto"/>
        <w:bottom w:val="none" w:sz="0" w:space="0" w:color="auto"/>
        <w:right w:val="none" w:sz="0" w:space="0" w:color="auto"/>
      </w:divBdr>
    </w:div>
    <w:div w:id="139269353">
      <w:bodyDiv w:val="1"/>
      <w:marLeft w:val="0"/>
      <w:marRight w:val="0"/>
      <w:marTop w:val="0"/>
      <w:marBottom w:val="0"/>
      <w:divBdr>
        <w:top w:val="none" w:sz="0" w:space="0" w:color="auto"/>
        <w:left w:val="none" w:sz="0" w:space="0" w:color="auto"/>
        <w:bottom w:val="none" w:sz="0" w:space="0" w:color="auto"/>
        <w:right w:val="none" w:sz="0" w:space="0" w:color="auto"/>
      </w:divBdr>
    </w:div>
    <w:div w:id="242298709">
      <w:bodyDiv w:val="1"/>
      <w:marLeft w:val="0"/>
      <w:marRight w:val="0"/>
      <w:marTop w:val="0"/>
      <w:marBottom w:val="0"/>
      <w:divBdr>
        <w:top w:val="none" w:sz="0" w:space="0" w:color="auto"/>
        <w:left w:val="none" w:sz="0" w:space="0" w:color="auto"/>
        <w:bottom w:val="none" w:sz="0" w:space="0" w:color="auto"/>
        <w:right w:val="none" w:sz="0" w:space="0" w:color="auto"/>
      </w:divBdr>
    </w:div>
    <w:div w:id="306127291">
      <w:bodyDiv w:val="1"/>
      <w:marLeft w:val="0"/>
      <w:marRight w:val="0"/>
      <w:marTop w:val="0"/>
      <w:marBottom w:val="0"/>
      <w:divBdr>
        <w:top w:val="none" w:sz="0" w:space="0" w:color="auto"/>
        <w:left w:val="none" w:sz="0" w:space="0" w:color="auto"/>
        <w:bottom w:val="none" w:sz="0" w:space="0" w:color="auto"/>
        <w:right w:val="none" w:sz="0" w:space="0" w:color="auto"/>
      </w:divBdr>
    </w:div>
    <w:div w:id="331224141">
      <w:bodyDiv w:val="1"/>
      <w:marLeft w:val="0"/>
      <w:marRight w:val="0"/>
      <w:marTop w:val="0"/>
      <w:marBottom w:val="0"/>
      <w:divBdr>
        <w:top w:val="none" w:sz="0" w:space="0" w:color="auto"/>
        <w:left w:val="none" w:sz="0" w:space="0" w:color="auto"/>
        <w:bottom w:val="none" w:sz="0" w:space="0" w:color="auto"/>
        <w:right w:val="none" w:sz="0" w:space="0" w:color="auto"/>
      </w:divBdr>
    </w:div>
    <w:div w:id="342517222">
      <w:bodyDiv w:val="1"/>
      <w:marLeft w:val="0"/>
      <w:marRight w:val="0"/>
      <w:marTop w:val="0"/>
      <w:marBottom w:val="0"/>
      <w:divBdr>
        <w:top w:val="none" w:sz="0" w:space="0" w:color="auto"/>
        <w:left w:val="none" w:sz="0" w:space="0" w:color="auto"/>
        <w:bottom w:val="none" w:sz="0" w:space="0" w:color="auto"/>
        <w:right w:val="none" w:sz="0" w:space="0" w:color="auto"/>
      </w:divBdr>
    </w:div>
    <w:div w:id="343213215">
      <w:bodyDiv w:val="1"/>
      <w:marLeft w:val="0"/>
      <w:marRight w:val="0"/>
      <w:marTop w:val="0"/>
      <w:marBottom w:val="0"/>
      <w:divBdr>
        <w:top w:val="none" w:sz="0" w:space="0" w:color="auto"/>
        <w:left w:val="none" w:sz="0" w:space="0" w:color="auto"/>
        <w:bottom w:val="none" w:sz="0" w:space="0" w:color="auto"/>
        <w:right w:val="none" w:sz="0" w:space="0" w:color="auto"/>
      </w:divBdr>
    </w:div>
    <w:div w:id="345714367">
      <w:bodyDiv w:val="1"/>
      <w:marLeft w:val="0"/>
      <w:marRight w:val="0"/>
      <w:marTop w:val="0"/>
      <w:marBottom w:val="0"/>
      <w:divBdr>
        <w:top w:val="none" w:sz="0" w:space="0" w:color="auto"/>
        <w:left w:val="none" w:sz="0" w:space="0" w:color="auto"/>
        <w:bottom w:val="none" w:sz="0" w:space="0" w:color="auto"/>
        <w:right w:val="none" w:sz="0" w:space="0" w:color="auto"/>
      </w:divBdr>
    </w:div>
    <w:div w:id="467095005">
      <w:bodyDiv w:val="1"/>
      <w:marLeft w:val="0"/>
      <w:marRight w:val="0"/>
      <w:marTop w:val="0"/>
      <w:marBottom w:val="0"/>
      <w:divBdr>
        <w:top w:val="none" w:sz="0" w:space="0" w:color="auto"/>
        <w:left w:val="none" w:sz="0" w:space="0" w:color="auto"/>
        <w:bottom w:val="none" w:sz="0" w:space="0" w:color="auto"/>
        <w:right w:val="none" w:sz="0" w:space="0" w:color="auto"/>
      </w:divBdr>
    </w:div>
    <w:div w:id="491868297">
      <w:bodyDiv w:val="1"/>
      <w:marLeft w:val="0"/>
      <w:marRight w:val="0"/>
      <w:marTop w:val="0"/>
      <w:marBottom w:val="0"/>
      <w:divBdr>
        <w:top w:val="none" w:sz="0" w:space="0" w:color="auto"/>
        <w:left w:val="none" w:sz="0" w:space="0" w:color="auto"/>
        <w:bottom w:val="none" w:sz="0" w:space="0" w:color="auto"/>
        <w:right w:val="none" w:sz="0" w:space="0" w:color="auto"/>
      </w:divBdr>
    </w:div>
    <w:div w:id="511071341">
      <w:bodyDiv w:val="1"/>
      <w:marLeft w:val="0"/>
      <w:marRight w:val="0"/>
      <w:marTop w:val="0"/>
      <w:marBottom w:val="0"/>
      <w:divBdr>
        <w:top w:val="none" w:sz="0" w:space="0" w:color="auto"/>
        <w:left w:val="none" w:sz="0" w:space="0" w:color="auto"/>
        <w:bottom w:val="none" w:sz="0" w:space="0" w:color="auto"/>
        <w:right w:val="none" w:sz="0" w:space="0" w:color="auto"/>
      </w:divBdr>
    </w:div>
    <w:div w:id="516849067">
      <w:bodyDiv w:val="1"/>
      <w:marLeft w:val="0"/>
      <w:marRight w:val="0"/>
      <w:marTop w:val="0"/>
      <w:marBottom w:val="0"/>
      <w:divBdr>
        <w:top w:val="none" w:sz="0" w:space="0" w:color="auto"/>
        <w:left w:val="none" w:sz="0" w:space="0" w:color="auto"/>
        <w:bottom w:val="none" w:sz="0" w:space="0" w:color="auto"/>
        <w:right w:val="none" w:sz="0" w:space="0" w:color="auto"/>
      </w:divBdr>
    </w:div>
    <w:div w:id="528954182">
      <w:bodyDiv w:val="1"/>
      <w:marLeft w:val="0"/>
      <w:marRight w:val="0"/>
      <w:marTop w:val="0"/>
      <w:marBottom w:val="0"/>
      <w:divBdr>
        <w:top w:val="none" w:sz="0" w:space="0" w:color="auto"/>
        <w:left w:val="none" w:sz="0" w:space="0" w:color="auto"/>
        <w:bottom w:val="none" w:sz="0" w:space="0" w:color="auto"/>
        <w:right w:val="none" w:sz="0" w:space="0" w:color="auto"/>
      </w:divBdr>
    </w:div>
    <w:div w:id="557711814">
      <w:bodyDiv w:val="1"/>
      <w:marLeft w:val="0"/>
      <w:marRight w:val="0"/>
      <w:marTop w:val="0"/>
      <w:marBottom w:val="0"/>
      <w:divBdr>
        <w:top w:val="none" w:sz="0" w:space="0" w:color="auto"/>
        <w:left w:val="none" w:sz="0" w:space="0" w:color="auto"/>
        <w:bottom w:val="none" w:sz="0" w:space="0" w:color="auto"/>
        <w:right w:val="none" w:sz="0" w:space="0" w:color="auto"/>
      </w:divBdr>
    </w:div>
    <w:div w:id="571353471">
      <w:bodyDiv w:val="1"/>
      <w:marLeft w:val="0"/>
      <w:marRight w:val="0"/>
      <w:marTop w:val="0"/>
      <w:marBottom w:val="0"/>
      <w:divBdr>
        <w:top w:val="none" w:sz="0" w:space="0" w:color="auto"/>
        <w:left w:val="none" w:sz="0" w:space="0" w:color="auto"/>
        <w:bottom w:val="none" w:sz="0" w:space="0" w:color="auto"/>
        <w:right w:val="none" w:sz="0" w:space="0" w:color="auto"/>
      </w:divBdr>
    </w:div>
    <w:div w:id="603920271">
      <w:bodyDiv w:val="1"/>
      <w:marLeft w:val="0"/>
      <w:marRight w:val="0"/>
      <w:marTop w:val="0"/>
      <w:marBottom w:val="0"/>
      <w:divBdr>
        <w:top w:val="none" w:sz="0" w:space="0" w:color="auto"/>
        <w:left w:val="none" w:sz="0" w:space="0" w:color="auto"/>
        <w:bottom w:val="none" w:sz="0" w:space="0" w:color="auto"/>
        <w:right w:val="none" w:sz="0" w:space="0" w:color="auto"/>
      </w:divBdr>
    </w:div>
    <w:div w:id="621110904">
      <w:bodyDiv w:val="1"/>
      <w:marLeft w:val="0"/>
      <w:marRight w:val="0"/>
      <w:marTop w:val="0"/>
      <w:marBottom w:val="0"/>
      <w:divBdr>
        <w:top w:val="none" w:sz="0" w:space="0" w:color="auto"/>
        <w:left w:val="none" w:sz="0" w:space="0" w:color="auto"/>
        <w:bottom w:val="none" w:sz="0" w:space="0" w:color="auto"/>
        <w:right w:val="none" w:sz="0" w:space="0" w:color="auto"/>
      </w:divBdr>
    </w:div>
    <w:div w:id="657881825">
      <w:bodyDiv w:val="1"/>
      <w:marLeft w:val="0"/>
      <w:marRight w:val="0"/>
      <w:marTop w:val="0"/>
      <w:marBottom w:val="0"/>
      <w:divBdr>
        <w:top w:val="none" w:sz="0" w:space="0" w:color="auto"/>
        <w:left w:val="none" w:sz="0" w:space="0" w:color="auto"/>
        <w:bottom w:val="none" w:sz="0" w:space="0" w:color="auto"/>
        <w:right w:val="none" w:sz="0" w:space="0" w:color="auto"/>
      </w:divBdr>
    </w:div>
    <w:div w:id="689798464">
      <w:bodyDiv w:val="1"/>
      <w:marLeft w:val="0"/>
      <w:marRight w:val="0"/>
      <w:marTop w:val="0"/>
      <w:marBottom w:val="0"/>
      <w:divBdr>
        <w:top w:val="none" w:sz="0" w:space="0" w:color="auto"/>
        <w:left w:val="none" w:sz="0" w:space="0" w:color="auto"/>
        <w:bottom w:val="none" w:sz="0" w:space="0" w:color="auto"/>
        <w:right w:val="none" w:sz="0" w:space="0" w:color="auto"/>
      </w:divBdr>
    </w:div>
    <w:div w:id="718282760">
      <w:bodyDiv w:val="1"/>
      <w:marLeft w:val="0"/>
      <w:marRight w:val="0"/>
      <w:marTop w:val="0"/>
      <w:marBottom w:val="0"/>
      <w:divBdr>
        <w:top w:val="none" w:sz="0" w:space="0" w:color="auto"/>
        <w:left w:val="none" w:sz="0" w:space="0" w:color="auto"/>
        <w:bottom w:val="none" w:sz="0" w:space="0" w:color="auto"/>
        <w:right w:val="none" w:sz="0" w:space="0" w:color="auto"/>
      </w:divBdr>
    </w:div>
    <w:div w:id="742916554">
      <w:bodyDiv w:val="1"/>
      <w:marLeft w:val="0"/>
      <w:marRight w:val="0"/>
      <w:marTop w:val="0"/>
      <w:marBottom w:val="0"/>
      <w:divBdr>
        <w:top w:val="none" w:sz="0" w:space="0" w:color="auto"/>
        <w:left w:val="none" w:sz="0" w:space="0" w:color="auto"/>
        <w:bottom w:val="none" w:sz="0" w:space="0" w:color="auto"/>
        <w:right w:val="none" w:sz="0" w:space="0" w:color="auto"/>
      </w:divBdr>
    </w:div>
    <w:div w:id="757360637">
      <w:bodyDiv w:val="1"/>
      <w:marLeft w:val="0"/>
      <w:marRight w:val="0"/>
      <w:marTop w:val="0"/>
      <w:marBottom w:val="0"/>
      <w:divBdr>
        <w:top w:val="none" w:sz="0" w:space="0" w:color="auto"/>
        <w:left w:val="none" w:sz="0" w:space="0" w:color="auto"/>
        <w:bottom w:val="none" w:sz="0" w:space="0" w:color="auto"/>
        <w:right w:val="none" w:sz="0" w:space="0" w:color="auto"/>
      </w:divBdr>
    </w:div>
    <w:div w:id="775825991">
      <w:bodyDiv w:val="1"/>
      <w:marLeft w:val="0"/>
      <w:marRight w:val="0"/>
      <w:marTop w:val="0"/>
      <w:marBottom w:val="0"/>
      <w:divBdr>
        <w:top w:val="none" w:sz="0" w:space="0" w:color="auto"/>
        <w:left w:val="none" w:sz="0" w:space="0" w:color="auto"/>
        <w:bottom w:val="none" w:sz="0" w:space="0" w:color="auto"/>
        <w:right w:val="none" w:sz="0" w:space="0" w:color="auto"/>
      </w:divBdr>
    </w:div>
    <w:div w:id="779841684">
      <w:bodyDiv w:val="1"/>
      <w:marLeft w:val="0"/>
      <w:marRight w:val="0"/>
      <w:marTop w:val="0"/>
      <w:marBottom w:val="0"/>
      <w:divBdr>
        <w:top w:val="none" w:sz="0" w:space="0" w:color="auto"/>
        <w:left w:val="none" w:sz="0" w:space="0" w:color="auto"/>
        <w:bottom w:val="none" w:sz="0" w:space="0" w:color="auto"/>
        <w:right w:val="none" w:sz="0" w:space="0" w:color="auto"/>
      </w:divBdr>
    </w:div>
    <w:div w:id="792602235">
      <w:bodyDiv w:val="1"/>
      <w:marLeft w:val="0"/>
      <w:marRight w:val="0"/>
      <w:marTop w:val="0"/>
      <w:marBottom w:val="0"/>
      <w:divBdr>
        <w:top w:val="none" w:sz="0" w:space="0" w:color="auto"/>
        <w:left w:val="none" w:sz="0" w:space="0" w:color="auto"/>
        <w:bottom w:val="none" w:sz="0" w:space="0" w:color="auto"/>
        <w:right w:val="none" w:sz="0" w:space="0" w:color="auto"/>
      </w:divBdr>
    </w:div>
    <w:div w:id="848107975">
      <w:bodyDiv w:val="1"/>
      <w:marLeft w:val="0"/>
      <w:marRight w:val="0"/>
      <w:marTop w:val="0"/>
      <w:marBottom w:val="0"/>
      <w:divBdr>
        <w:top w:val="none" w:sz="0" w:space="0" w:color="auto"/>
        <w:left w:val="none" w:sz="0" w:space="0" w:color="auto"/>
        <w:bottom w:val="none" w:sz="0" w:space="0" w:color="auto"/>
        <w:right w:val="none" w:sz="0" w:space="0" w:color="auto"/>
      </w:divBdr>
    </w:div>
    <w:div w:id="901719791">
      <w:bodyDiv w:val="1"/>
      <w:marLeft w:val="0"/>
      <w:marRight w:val="0"/>
      <w:marTop w:val="0"/>
      <w:marBottom w:val="0"/>
      <w:divBdr>
        <w:top w:val="none" w:sz="0" w:space="0" w:color="auto"/>
        <w:left w:val="none" w:sz="0" w:space="0" w:color="auto"/>
        <w:bottom w:val="none" w:sz="0" w:space="0" w:color="auto"/>
        <w:right w:val="none" w:sz="0" w:space="0" w:color="auto"/>
      </w:divBdr>
    </w:div>
    <w:div w:id="903100308">
      <w:bodyDiv w:val="1"/>
      <w:marLeft w:val="0"/>
      <w:marRight w:val="0"/>
      <w:marTop w:val="0"/>
      <w:marBottom w:val="0"/>
      <w:divBdr>
        <w:top w:val="none" w:sz="0" w:space="0" w:color="auto"/>
        <w:left w:val="none" w:sz="0" w:space="0" w:color="auto"/>
        <w:bottom w:val="none" w:sz="0" w:space="0" w:color="auto"/>
        <w:right w:val="none" w:sz="0" w:space="0" w:color="auto"/>
      </w:divBdr>
    </w:div>
    <w:div w:id="934096482">
      <w:bodyDiv w:val="1"/>
      <w:marLeft w:val="0"/>
      <w:marRight w:val="0"/>
      <w:marTop w:val="0"/>
      <w:marBottom w:val="0"/>
      <w:divBdr>
        <w:top w:val="none" w:sz="0" w:space="0" w:color="auto"/>
        <w:left w:val="none" w:sz="0" w:space="0" w:color="auto"/>
        <w:bottom w:val="none" w:sz="0" w:space="0" w:color="auto"/>
        <w:right w:val="none" w:sz="0" w:space="0" w:color="auto"/>
      </w:divBdr>
    </w:div>
    <w:div w:id="943918706">
      <w:bodyDiv w:val="1"/>
      <w:marLeft w:val="0"/>
      <w:marRight w:val="0"/>
      <w:marTop w:val="0"/>
      <w:marBottom w:val="0"/>
      <w:divBdr>
        <w:top w:val="none" w:sz="0" w:space="0" w:color="auto"/>
        <w:left w:val="none" w:sz="0" w:space="0" w:color="auto"/>
        <w:bottom w:val="none" w:sz="0" w:space="0" w:color="auto"/>
        <w:right w:val="none" w:sz="0" w:space="0" w:color="auto"/>
      </w:divBdr>
    </w:div>
    <w:div w:id="984045159">
      <w:bodyDiv w:val="1"/>
      <w:marLeft w:val="0"/>
      <w:marRight w:val="0"/>
      <w:marTop w:val="0"/>
      <w:marBottom w:val="0"/>
      <w:divBdr>
        <w:top w:val="none" w:sz="0" w:space="0" w:color="auto"/>
        <w:left w:val="none" w:sz="0" w:space="0" w:color="auto"/>
        <w:bottom w:val="none" w:sz="0" w:space="0" w:color="auto"/>
        <w:right w:val="none" w:sz="0" w:space="0" w:color="auto"/>
      </w:divBdr>
    </w:div>
    <w:div w:id="986012762">
      <w:bodyDiv w:val="1"/>
      <w:marLeft w:val="0"/>
      <w:marRight w:val="0"/>
      <w:marTop w:val="0"/>
      <w:marBottom w:val="0"/>
      <w:divBdr>
        <w:top w:val="none" w:sz="0" w:space="0" w:color="auto"/>
        <w:left w:val="none" w:sz="0" w:space="0" w:color="auto"/>
        <w:bottom w:val="none" w:sz="0" w:space="0" w:color="auto"/>
        <w:right w:val="none" w:sz="0" w:space="0" w:color="auto"/>
      </w:divBdr>
    </w:div>
    <w:div w:id="1009941018">
      <w:bodyDiv w:val="1"/>
      <w:marLeft w:val="0"/>
      <w:marRight w:val="0"/>
      <w:marTop w:val="0"/>
      <w:marBottom w:val="0"/>
      <w:divBdr>
        <w:top w:val="none" w:sz="0" w:space="0" w:color="auto"/>
        <w:left w:val="none" w:sz="0" w:space="0" w:color="auto"/>
        <w:bottom w:val="none" w:sz="0" w:space="0" w:color="auto"/>
        <w:right w:val="none" w:sz="0" w:space="0" w:color="auto"/>
      </w:divBdr>
    </w:div>
    <w:div w:id="1022197135">
      <w:bodyDiv w:val="1"/>
      <w:marLeft w:val="0"/>
      <w:marRight w:val="0"/>
      <w:marTop w:val="0"/>
      <w:marBottom w:val="0"/>
      <w:divBdr>
        <w:top w:val="none" w:sz="0" w:space="0" w:color="auto"/>
        <w:left w:val="none" w:sz="0" w:space="0" w:color="auto"/>
        <w:bottom w:val="none" w:sz="0" w:space="0" w:color="auto"/>
        <w:right w:val="none" w:sz="0" w:space="0" w:color="auto"/>
      </w:divBdr>
    </w:div>
    <w:div w:id="1037776333">
      <w:bodyDiv w:val="1"/>
      <w:marLeft w:val="0"/>
      <w:marRight w:val="0"/>
      <w:marTop w:val="0"/>
      <w:marBottom w:val="0"/>
      <w:divBdr>
        <w:top w:val="none" w:sz="0" w:space="0" w:color="auto"/>
        <w:left w:val="none" w:sz="0" w:space="0" w:color="auto"/>
        <w:bottom w:val="none" w:sz="0" w:space="0" w:color="auto"/>
        <w:right w:val="none" w:sz="0" w:space="0" w:color="auto"/>
      </w:divBdr>
    </w:div>
    <w:div w:id="1084886471">
      <w:bodyDiv w:val="1"/>
      <w:marLeft w:val="0"/>
      <w:marRight w:val="0"/>
      <w:marTop w:val="0"/>
      <w:marBottom w:val="0"/>
      <w:divBdr>
        <w:top w:val="none" w:sz="0" w:space="0" w:color="auto"/>
        <w:left w:val="none" w:sz="0" w:space="0" w:color="auto"/>
        <w:bottom w:val="none" w:sz="0" w:space="0" w:color="auto"/>
        <w:right w:val="none" w:sz="0" w:space="0" w:color="auto"/>
      </w:divBdr>
    </w:div>
    <w:div w:id="1103109127">
      <w:bodyDiv w:val="1"/>
      <w:marLeft w:val="0"/>
      <w:marRight w:val="0"/>
      <w:marTop w:val="0"/>
      <w:marBottom w:val="0"/>
      <w:divBdr>
        <w:top w:val="none" w:sz="0" w:space="0" w:color="auto"/>
        <w:left w:val="none" w:sz="0" w:space="0" w:color="auto"/>
        <w:bottom w:val="none" w:sz="0" w:space="0" w:color="auto"/>
        <w:right w:val="none" w:sz="0" w:space="0" w:color="auto"/>
      </w:divBdr>
    </w:div>
    <w:div w:id="1107119601">
      <w:bodyDiv w:val="1"/>
      <w:marLeft w:val="0"/>
      <w:marRight w:val="0"/>
      <w:marTop w:val="0"/>
      <w:marBottom w:val="0"/>
      <w:divBdr>
        <w:top w:val="none" w:sz="0" w:space="0" w:color="auto"/>
        <w:left w:val="none" w:sz="0" w:space="0" w:color="auto"/>
        <w:bottom w:val="none" w:sz="0" w:space="0" w:color="auto"/>
        <w:right w:val="none" w:sz="0" w:space="0" w:color="auto"/>
      </w:divBdr>
    </w:div>
    <w:div w:id="1162702444">
      <w:bodyDiv w:val="1"/>
      <w:marLeft w:val="0"/>
      <w:marRight w:val="0"/>
      <w:marTop w:val="0"/>
      <w:marBottom w:val="0"/>
      <w:divBdr>
        <w:top w:val="none" w:sz="0" w:space="0" w:color="auto"/>
        <w:left w:val="none" w:sz="0" w:space="0" w:color="auto"/>
        <w:bottom w:val="none" w:sz="0" w:space="0" w:color="auto"/>
        <w:right w:val="none" w:sz="0" w:space="0" w:color="auto"/>
      </w:divBdr>
    </w:div>
    <w:div w:id="1182670780">
      <w:bodyDiv w:val="1"/>
      <w:marLeft w:val="0"/>
      <w:marRight w:val="0"/>
      <w:marTop w:val="0"/>
      <w:marBottom w:val="0"/>
      <w:divBdr>
        <w:top w:val="none" w:sz="0" w:space="0" w:color="auto"/>
        <w:left w:val="none" w:sz="0" w:space="0" w:color="auto"/>
        <w:bottom w:val="none" w:sz="0" w:space="0" w:color="auto"/>
        <w:right w:val="none" w:sz="0" w:space="0" w:color="auto"/>
      </w:divBdr>
    </w:div>
    <w:div w:id="1194028726">
      <w:bodyDiv w:val="1"/>
      <w:marLeft w:val="0"/>
      <w:marRight w:val="0"/>
      <w:marTop w:val="0"/>
      <w:marBottom w:val="0"/>
      <w:divBdr>
        <w:top w:val="none" w:sz="0" w:space="0" w:color="auto"/>
        <w:left w:val="none" w:sz="0" w:space="0" w:color="auto"/>
        <w:bottom w:val="none" w:sz="0" w:space="0" w:color="auto"/>
        <w:right w:val="none" w:sz="0" w:space="0" w:color="auto"/>
      </w:divBdr>
    </w:div>
    <w:div w:id="1201553523">
      <w:bodyDiv w:val="1"/>
      <w:marLeft w:val="0"/>
      <w:marRight w:val="0"/>
      <w:marTop w:val="0"/>
      <w:marBottom w:val="0"/>
      <w:divBdr>
        <w:top w:val="none" w:sz="0" w:space="0" w:color="auto"/>
        <w:left w:val="none" w:sz="0" w:space="0" w:color="auto"/>
        <w:bottom w:val="none" w:sz="0" w:space="0" w:color="auto"/>
        <w:right w:val="none" w:sz="0" w:space="0" w:color="auto"/>
      </w:divBdr>
    </w:div>
    <w:div w:id="1230774870">
      <w:bodyDiv w:val="1"/>
      <w:marLeft w:val="0"/>
      <w:marRight w:val="0"/>
      <w:marTop w:val="0"/>
      <w:marBottom w:val="0"/>
      <w:divBdr>
        <w:top w:val="none" w:sz="0" w:space="0" w:color="auto"/>
        <w:left w:val="none" w:sz="0" w:space="0" w:color="auto"/>
        <w:bottom w:val="none" w:sz="0" w:space="0" w:color="auto"/>
        <w:right w:val="none" w:sz="0" w:space="0" w:color="auto"/>
      </w:divBdr>
    </w:div>
    <w:div w:id="1260021234">
      <w:bodyDiv w:val="1"/>
      <w:marLeft w:val="0"/>
      <w:marRight w:val="0"/>
      <w:marTop w:val="0"/>
      <w:marBottom w:val="0"/>
      <w:divBdr>
        <w:top w:val="none" w:sz="0" w:space="0" w:color="auto"/>
        <w:left w:val="none" w:sz="0" w:space="0" w:color="auto"/>
        <w:bottom w:val="none" w:sz="0" w:space="0" w:color="auto"/>
        <w:right w:val="none" w:sz="0" w:space="0" w:color="auto"/>
      </w:divBdr>
    </w:div>
    <w:div w:id="1269852313">
      <w:bodyDiv w:val="1"/>
      <w:marLeft w:val="0"/>
      <w:marRight w:val="0"/>
      <w:marTop w:val="0"/>
      <w:marBottom w:val="0"/>
      <w:divBdr>
        <w:top w:val="none" w:sz="0" w:space="0" w:color="auto"/>
        <w:left w:val="none" w:sz="0" w:space="0" w:color="auto"/>
        <w:bottom w:val="none" w:sz="0" w:space="0" w:color="auto"/>
        <w:right w:val="none" w:sz="0" w:space="0" w:color="auto"/>
      </w:divBdr>
    </w:div>
    <w:div w:id="1276328784">
      <w:bodyDiv w:val="1"/>
      <w:marLeft w:val="0"/>
      <w:marRight w:val="0"/>
      <w:marTop w:val="0"/>
      <w:marBottom w:val="0"/>
      <w:divBdr>
        <w:top w:val="none" w:sz="0" w:space="0" w:color="auto"/>
        <w:left w:val="none" w:sz="0" w:space="0" w:color="auto"/>
        <w:bottom w:val="none" w:sz="0" w:space="0" w:color="auto"/>
        <w:right w:val="none" w:sz="0" w:space="0" w:color="auto"/>
      </w:divBdr>
    </w:div>
    <w:div w:id="1299842240">
      <w:bodyDiv w:val="1"/>
      <w:marLeft w:val="0"/>
      <w:marRight w:val="0"/>
      <w:marTop w:val="0"/>
      <w:marBottom w:val="0"/>
      <w:divBdr>
        <w:top w:val="none" w:sz="0" w:space="0" w:color="auto"/>
        <w:left w:val="none" w:sz="0" w:space="0" w:color="auto"/>
        <w:bottom w:val="none" w:sz="0" w:space="0" w:color="auto"/>
        <w:right w:val="none" w:sz="0" w:space="0" w:color="auto"/>
      </w:divBdr>
    </w:div>
    <w:div w:id="1309630463">
      <w:bodyDiv w:val="1"/>
      <w:marLeft w:val="0"/>
      <w:marRight w:val="0"/>
      <w:marTop w:val="0"/>
      <w:marBottom w:val="0"/>
      <w:divBdr>
        <w:top w:val="none" w:sz="0" w:space="0" w:color="auto"/>
        <w:left w:val="none" w:sz="0" w:space="0" w:color="auto"/>
        <w:bottom w:val="none" w:sz="0" w:space="0" w:color="auto"/>
        <w:right w:val="none" w:sz="0" w:space="0" w:color="auto"/>
      </w:divBdr>
    </w:div>
    <w:div w:id="1312179297">
      <w:bodyDiv w:val="1"/>
      <w:marLeft w:val="0"/>
      <w:marRight w:val="0"/>
      <w:marTop w:val="0"/>
      <w:marBottom w:val="0"/>
      <w:divBdr>
        <w:top w:val="none" w:sz="0" w:space="0" w:color="auto"/>
        <w:left w:val="none" w:sz="0" w:space="0" w:color="auto"/>
        <w:bottom w:val="none" w:sz="0" w:space="0" w:color="auto"/>
        <w:right w:val="none" w:sz="0" w:space="0" w:color="auto"/>
      </w:divBdr>
    </w:div>
    <w:div w:id="1326514484">
      <w:bodyDiv w:val="1"/>
      <w:marLeft w:val="0"/>
      <w:marRight w:val="0"/>
      <w:marTop w:val="0"/>
      <w:marBottom w:val="0"/>
      <w:divBdr>
        <w:top w:val="none" w:sz="0" w:space="0" w:color="auto"/>
        <w:left w:val="none" w:sz="0" w:space="0" w:color="auto"/>
        <w:bottom w:val="none" w:sz="0" w:space="0" w:color="auto"/>
        <w:right w:val="none" w:sz="0" w:space="0" w:color="auto"/>
      </w:divBdr>
    </w:div>
    <w:div w:id="1340622221">
      <w:bodyDiv w:val="1"/>
      <w:marLeft w:val="0"/>
      <w:marRight w:val="0"/>
      <w:marTop w:val="0"/>
      <w:marBottom w:val="0"/>
      <w:divBdr>
        <w:top w:val="none" w:sz="0" w:space="0" w:color="auto"/>
        <w:left w:val="none" w:sz="0" w:space="0" w:color="auto"/>
        <w:bottom w:val="none" w:sz="0" w:space="0" w:color="auto"/>
        <w:right w:val="none" w:sz="0" w:space="0" w:color="auto"/>
      </w:divBdr>
    </w:div>
    <w:div w:id="1374618345">
      <w:bodyDiv w:val="1"/>
      <w:marLeft w:val="0"/>
      <w:marRight w:val="0"/>
      <w:marTop w:val="0"/>
      <w:marBottom w:val="0"/>
      <w:divBdr>
        <w:top w:val="none" w:sz="0" w:space="0" w:color="auto"/>
        <w:left w:val="none" w:sz="0" w:space="0" w:color="auto"/>
        <w:bottom w:val="none" w:sz="0" w:space="0" w:color="auto"/>
        <w:right w:val="none" w:sz="0" w:space="0" w:color="auto"/>
      </w:divBdr>
    </w:div>
    <w:div w:id="1385986641">
      <w:bodyDiv w:val="1"/>
      <w:marLeft w:val="0"/>
      <w:marRight w:val="0"/>
      <w:marTop w:val="0"/>
      <w:marBottom w:val="0"/>
      <w:divBdr>
        <w:top w:val="none" w:sz="0" w:space="0" w:color="auto"/>
        <w:left w:val="none" w:sz="0" w:space="0" w:color="auto"/>
        <w:bottom w:val="none" w:sz="0" w:space="0" w:color="auto"/>
        <w:right w:val="none" w:sz="0" w:space="0" w:color="auto"/>
      </w:divBdr>
    </w:div>
    <w:div w:id="1386222856">
      <w:bodyDiv w:val="1"/>
      <w:marLeft w:val="0"/>
      <w:marRight w:val="0"/>
      <w:marTop w:val="0"/>
      <w:marBottom w:val="0"/>
      <w:divBdr>
        <w:top w:val="none" w:sz="0" w:space="0" w:color="auto"/>
        <w:left w:val="none" w:sz="0" w:space="0" w:color="auto"/>
        <w:bottom w:val="none" w:sz="0" w:space="0" w:color="auto"/>
        <w:right w:val="none" w:sz="0" w:space="0" w:color="auto"/>
      </w:divBdr>
    </w:div>
    <w:div w:id="1390692329">
      <w:bodyDiv w:val="1"/>
      <w:marLeft w:val="0"/>
      <w:marRight w:val="0"/>
      <w:marTop w:val="0"/>
      <w:marBottom w:val="0"/>
      <w:divBdr>
        <w:top w:val="none" w:sz="0" w:space="0" w:color="auto"/>
        <w:left w:val="none" w:sz="0" w:space="0" w:color="auto"/>
        <w:bottom w:val="none" w:sz="0" w:space="0" w:color="auto"/>
        <w:right w:val="none" w:sz="0" w:space="0" w:color="auto"/>
      </w:divBdr>
    </w:div>
    <w:div w:id="1392538129">
      <w:bodyDiv w:val="1"/>
      <w:marLeft w:val="0"/>
      <w:marRight w:val="0"/>
      <w:marTop w:val="0"/>
      <w:marBottom w:val="0"/>
      <w:divBdr>
        <w:top w:val="none" w:sz="0" w:space="0" w:color="auto"/>
        <w:left w:val="none" w:sz="0" w:space="0" w:color="auto"/>
        <w:bottom w:val="none" w:sz="0" w:space="0" w:color="auto"/>
        <w:right w:val="none" w:sz="0" w:space="0" w:color="auto"/>
      </w:divBdr>
    </w:div>
    <w:div w:id="1397557248">
      <w:bodyDiv w:val="1"/>
      <w:marLeft w:val="0"/>
      <w:marRight w:val="0"/>
      <w:marTop w:val="0"/>
      <w:marBottom w:val="0"/>
      <w:divBdr>
        <w:top w:val="none" w:sz="0" w:space="0" w:color="auto"/>
        <w:left w:val="none" w:sz="0" w:space="0" w:color="auto"/>
        <w:bottom w:val="none" w:sz="0" w:space="0" w:color="auto"/>
        <w:right w:val="none" w:sz="0" w:space="0" w:color="auto"/>
      </w:divBdr>
    </w:div>
    <w:div w:id="1440681300">
      <w:bodyDiv w:val="1"/>
      <w:marLeft w:val="0"/>
      <w:marRight w:val="0"/>
      <w:marTop w:val="0"/>
      <w:marBottom w:val="0"/>
      <w:divBdr>
        <w:top w:val="none" w:sz="0" w:space="0" w:color="auto"/>
        <w:left w:val="none" w:sz="0" w:space="0" w:color="auto"/>
        <w:bottom w:val="none" w:sz="0" w:space="0" w:color="auto"/>
        <w:right w:val="none" w:sz="0" w:space="0" w:color="auto"/>
      </w:divBdr>
    </w:div>
    <w:div w:id="1461650394">
      <w:bodyDiv w:val="1"/>
      <w:marLeft w:val="0"/>
      <w:marRight w:val="0"/>
      <w:marTop w:val="0"/>
      <w:marBottom w:val="0"/>
      <w:divBdr>
        <w:top w:val="none" w:sz="0" w:space="0" w:color="auto"/>
        <w:left w:val="none" w:sz="0" w:space="0" w:color="auto"/>
        <w:bottom w:val="none" w:sz="0" w:space="0" w:color="auto"/>
        <w:right w:val="none" w:sz="0" w:space="0" w:color="auto"/>
      </w:divBdr>
    </w:div>
    <w:div w:id="1502356621">
      <w:bodyDiv w:val="1"/>
      <w:marLeft w:val="0"/>
      <w:marRight w:val="0"/>
      <w:marTop w:val="0"/>
      <w:marBottom w:val="0"/>
      <w:divBdr>
        <w:top w:val="none" w:sz="0" w:space="0" w:color="auto"/>
        <w:left w:val="none" w:sz="0" w:space="0" w:color="auto"/>
        <w:bottom w:val="none" w:sz="0" w:space="0" w:color="auto"/>
        <w:right w:val="none" w:sz="0" w:space="0" w:color="auto"/>
      </w:divBdr>
    </w:div>
    <w:div w:id="1516647952">
      <w:bodyDiv w:val="1"/>
      <w:marLeft w:val="0"/>
      <w:marRight w:val="0"/>
      <w:marTop w:val="0"/>
      <w:marBottom w:val="0"/>
      <w:divBdr>
        <w:top w:val="none" w:sz="0" w:space="0" w:color="auto"/>
        <w:left w:val="none" w:sz="0" w:space="0" w:color="auto"/>
        <w:bottom w:val="none" w:sz="0" w:space="0" w:color="auto"/>
        <w:right w:val="none" w:sz="0" w:space="0" w:color="auto"/>
      </w:divBdr>
    </w:div>
    <w:div w:id="1523351469">
      <w:bodyDiv w:val="1"/>
      <w:marLeft w:val="0"/>
      <w:marRight w:val="0"/>
      <w:marTop w:val="0"/>
      <w:marBottom w:val="0"/>
      <w:divBdr>
        <w:top w:val="none" w:sz="0" w:space="0" w:color="auto"/>
        <w:left w:val="none" w:sz="0" w:space="0" w:color="auto"/>
        <w:bottom w:val="none" w:sz="0" w:space="0" w:color="auto"/>
        <w:right w:val="none" w:sz="0" w:space="0" w:color="auto"/>
      </w:divBdr>
    </w:div>
    <w:div w:id="1535388310">
      <w:bodyDiv w:val="1"/>
      <w:marLeft w:val="0"/>
      <w:marRight w:val="0"/>
      <w:marTop w:val="0"/>
      <w:marBottom w:val="0"/>
      <w:divBdr>
        <w:top w:val="none" w:sz="0" w:space="0" w:color="auto"/>
        <w:left w:val="none" w:sz="0" w:space="0" w:color="auto"/>
        <w:bottom w:val="none" w:sz="0" w:space="0" w:color="auto"/>
        <w:right w:val="none" w:sz="0" w:space="0" w:color="auto"/>
      </w:divBdr>
    </w:div>
    <w:div w:id="1544322384">
      <w:bodyDiv w:val="1"/>
      <w:marLeft w:val="0"/>
      <w:marRight w:val="0"/>
      <w:marTop w:val="0"/>
      <w:marBottom w:val="0"/>
      <w:divBdr>
        <w:top w:val="none" w:sz="0" w:space="0" w:color="auto"/>
        <w:left w:val="none" w:sz="0" w:space="0" w:color="auto"/>
        <w:bottom w:val="none" w:sz="0" w:space="0" w:color="auto"/>
        <w:right w:val="none" w:sz="0" w:space="0" w:color="auto"/>
      </w:divBdr>
    </w:div>
    <w:div w:id="1556745848">
      <w:bodyDiv w:val="1"/>
      <w:marLeft w:val="0"/>
      <w:marRight w:val="0"/>
      <w:marTop w:val="0"/>
      <w:marBottom w:val="0"/>
      <w:divBdr>
        <w:top w:val="none" w:sz="0" w:space="0" w:color="auto"/>
        <w:left w:val="none" w:sz="0" w:space="0" w:color="auto"/>
        <w:bottom w:val="none" w:sz="0" w:space="0" w:color="auto"/>
        <w:right w:val="none" w:sz="0" w:space="0" w:color="auto"/>
      </w:divBdr>
    </w:div>
    <w:div w:id="1561088779">
      <w:bodyDiv w:val="1"/>
      <w:marLeft w:val="0"/>
      <w:marRight w:val="0"/>
      <w:marTop w:val="0"/>
      <w:marBottom w:val="0"/>
      <w:divBdr>
        <w:top w:val="none" w:sz="0" w:space="0" w:color="auto"/>
        <w:left w:val="none" w:sz="0" w:space="0" w:color="auto"/>
        <w:bottom w:val="none" w:sz="0" w:space="0" w:color="auto"/>
        <w:right w:val="none" w:sz="0" w:space="0" w:color="auto"/>
      </w:divBdr>
    </w:div>
    <w:div w:id="1600869573">
      <w:bodyDiv w:val="1"/>
      <w:marLeft w:val="0"/>
      <w:marRight w:val="0"/>
      <w:marTop w:val="0"/>
      <w:marBottom w:val="0"/>
      <w:divBdr>
        <w:top w:val="none" w:sz="0" w:space="0" w:color="auto"/>
        <w:left w:val="none" w:sz="0" w:space="0" w:color="auto"/>
        <w:bottom w:val="none" w:sz="0" w:space="0" w:color="auto"/>
        <w:right w:val="none" w:sz="0" w:space="0" w:color="auto"/>
      </w:divBdr>
    </w:div>
    <w:div w:id="1605071117">
      <w:bodyDiv w:val="1"/>
      <w:marLeft w:val="0"/>
      <w:marRight w:val="0"/>
      <w:marTop w:val="0"/>
      <w:marBottom w:val="0"/>
      <w:divBdr>
        <w:top w:val="none" w:sz="0" w:space="0" w:color="auto"/>
        <w:left w:val="none" w:sz="0" w:space="0" w:color="auto"/>
        <w:bottom w:val="none" w:sz="0" w:space="0" w:color="auto"/>
        <w:right w:val="none" w:sz="0" w:space="0" w:color="auto"/>
      </w:divBdr>
    </w:div>
    <w:div w:id="1607152297">
      <w:bodyDiv w:val="1"/>
      <w:marLeft w:val="0"/>
      <w:marRight w:val="0"/>
      <w:marTop w:val="0"/>
      <w:marBottom w:val="0"/>
      <w:divBdr>
        <w:top w:val="none" w:sz="0" w:space="0" w:color="auto"/>
        <w:left w:val="none" w:sz="0" w:space="0" w:color="auto"/>
        <w:bottom w:val="none" w:sz="0" w:space="0" w:color="auto"/>
        <w:right w:val="none" w:sz="0" w:space="0" w:color="auto"/>
      </w:divBdr>
    </w:div>
    <w:div w:id="1613592511">
      <w:bodyDiv w:val="1"/>
      <w:marLeft w:val="0"/>
      <w:marRight w:val="0"/>
      <w:marTop w:val="0"/>
      <w:marBottom w:val="0"/>
      <w:divBdr>
        <w:top w:val="none" w:sz="0" w:space="0" w:color="auto"/>
        <w:left w:val="none" w:sz="0" w:space="0" w:color="auto"/>
        <w:bottom w:val="none" w:sz="0" w:space="0" w:color="auto"/>
        <w:right w:val="none" w:sz="0" w:space="0" w:color="auto"/>
      </w:divBdr>
    </w:div>
    <w:div w:id="1617373191">
      <w:bodyDiv w:val="1"/>
      <w:marLeft w:val="0"/>
      <w:marRight w:val="0"/>
      <w:marTop w:val="0"/>
      <w:marBottom w:val="0"/>
      <w:divBdr>
        <w:top w:val="none" w:sz="0" w:space="0" w:color="auto"/>
        <w:left w:val="none" w:sz="0" w:space="0" w:color="auto"/>
        <w:bottom w:val="none" w:sz="0" w:space="0" w:color="auto"/>
        <w:right w:val="none" w:sz="0" w:space="0" w:color="auto"/>
      </w:divBdr>
    </w:div>
    <w:div w:id="1623924751">
      <w:bodyDiv w:val="1"/>
      <w:marLeft w:val="0"/>
      <w:marRight w:val="0"/>
      <w:marTop w:val="0"/>
      <w:marBottom w:val="0"/>
      <w:divBdr>
        <w:top w:val="none" w:sz="0" w:space="0" w:color="auto"/>
        <w:left w:val="none" w:sz="0" w:space="0" w:color="auto"/>
        <w:bottom w:val="none" w:sz="0" w:space="0" w:color="auto"/>
        <w:right w:val="none" w:sz="0" w:space="0" w:color="auto"/>
      </w:divBdr>
    </w:div>
    <w:div w:id="1628002200">
      <w:bodyDiv w:val="1"/>
      <w:marLeft w:val="0"/>
      <w:marRight w:val="0"/>
      <w:marTop w:val="0"/>
      <w:marBottom w:val="0"/>
      <w:divBdr>
        <w:top w:val="none" w:sz="0" w:space="0" w:color="auto"/>
        <w:left w:val="none" w:sz="0" w:space="0" w:color="auto"/>
        <w:bottom w:val="none" w:sz="0" w:space="0" w:color="auto"/>
        <w:right w:val="none" w:sz="0" w:space="0" w:color="auto"/>
      </w:divBdr>
    </w:div>
    <w:div w:id="1633173251">
      <w:bodyDiv w:val="1"/>
      <w:marLeft w:val="0"/>
      <w:marRight w:val="0"/>
      <w:marTop w:val="0"/>
      <w:marBottom w:val="0"/>
      <w:divBdr>
        <w:top w:val="none" w:sz="0" w:space="0" w:color="auto"/>
        <w:left w:val="none" w:sz="0" w:space="0" w:color="auto"/>
        <w:bottom w:val="none" w:sz="0" w:space="0" w:color="auto"/>
        <w:right w:val="none" w:sz="0" w:space="0" w:color="auto"/>
      </w:divBdr>
    </w:div>
    <w:div w:id="1633900216">
      <w:bodyDiv w:val="1"/>
      <w:marLeft w:val="0"/>
      <w:marRight w:val="0"/>
      <w:marTop w:val="0"/>
      <w:marBottom w:val="0"/>
      <w:divBdr>
        <w:top w:val="none" w:sz="0" w:space="0" w:color="auto"/>
        <w:left w:val="none" w:sz="0" w:space="0" w:color="auto"/>
        <w:bottom w:val="none" w:sz="0" w:space="0" w:color="auto"/>
        <w:right w:val="none" w:sz="0" w:space="0" w:color="auto"/>
      </w:divBdr>
    </w:div>
    <w:div w:id="1636252175">
      <w:bodyDiv w:val="1"/>
      <w:marLeft w:val="0"/>
      <w:marRight w:val="0"/>
      <w:marTop w:val="0"/>
      <w:marBottom w:val="0"/>
      <w:divBdr>
        <w:top w:val="none" w:sz="0" w:space="0" w:color="auto"/>
        <w:left w:val="none" w:sz="0" w:space="0" w:color="auto"/>
        <w:bottom w:val="none" w:sz="0" w:space="0" w:color="auto"/>
        <w:right w:val="none" w:sz="0" w:space="0" w:color="auto"/>
      </w:divBdr>
    </w:div>
    <w:div w:id="1652446327">
      <w:bodyDiv w:val="1"/>
      <w:marLeft w:val="0"/>
      <w:marRight w:val="0"/>
      <w:marTop w:val="0"/>
      <w:marBottom w:val="0"/>
      <w:divBdr>
        <w:top w:val="none" w:sz="0" w:space="0" w:color="auto"/>
        <w:left w:val="none" w:sz="0" w:space="0" w:color="auto"/>
        <w:bottom w:val="none" w:sz="0" w:space="0" w:color="auto"/>
        <w:right w:val="none" w:sz="0" w:space="0" w:color="auto"/>
      </w:divBdr>
    </w:div>
    <w:div w:id="1654287319">
      <w:bodyDiv w:val="1"/>
      <w:marLeft w:val="0"/>
      <w:marRight w:val="0"/>
      <w:marTop w:val="0"/>
      <w:marBottom w:val="0"/>
      <w:divBdr>
        <w:top w:val="none" w:sz="0" w:space="0" w:color="auto"/>
        <w:left w:val="none" w:sz="0" w:space="0" w:color="auto"/>
        <w:bottom w:val="none" w:sz="0" w:space="0" w:color="auto"/>
        <w:right w:val="none" w:sz="0" w:space="0" w:color="auto"/>
      </w:divBdr>
    </w:div>
    <w:div w:id="1699548024">
      <w:bodyDiv w:val="1"/>
      <w:marLeft w:val="0"/>
      <w:marRight w:val="0"/>
      <w:marTop w:val="0"/>
      <w:marBottom w:val="0"/>
      <w:divBdr>
        <w:top w:val="none" w:sz="0" w:space="0" w:color="auto"/>
        <w:left w:val="none" w:sz="0" w:space="0" w:color="auto"/>
        <w:bottom w:val="none" w:sz="0" w:space="0" w:color="auto"/>
        <w:right w:val="none" w:sz="0" w:space="0" w:color="auto"/>
      </w:divBdr>
    </w:div>
    <w:div w:id="1704089216">
      <w:bodyDiv w:val="1"/>
      <w:marLeft w:val="0"/>
      <w:marRight w:val="0"/>
      <w:marTop w:val="0"/>
      <w:marBottom w:val="0"/>
      <w:divBdr>
        <w:top w:val="none" w:sz="0" w:space="0" w:color="auto"/>
        <w:left w:val="none" w:sz="0" w:space="0" w:color="auto"/>
        <w:bottom w:val="none" w:sz="0" w:space="0" w:color="auto"/>
        <w:right w:val="none" w:sz="0" w:space="0" w:color="auto"/>
      </w:divBdr>
    </w:div>
    <w:div w:id="1742630916">
      <w:bodyDiv w:val="1"/>
      <w:marLeft w:val="0"/>
      <w:marRight w:val="0"/>
      <w:marTop w:val="0"/>
      <w:marBottom w:val="0"/>
      <w:divBdr>
        <w:top w:val="none" w:sz="0" w:space="0" w:color="auto"/>
        <w:left w:val="none" w:sz="0" w:space="0" w:color="auto"/>
        <w:bottom w:val="none" w:sz="0" w:space="0" w:color="auto"/>
        <w:right w:val="none" w:sz="0" w:space="0" w:color="auto"/>
      </w:divBdr>
    </w:div>
    <w:div w:id="1764836675">
      <w:bodyDiv w:val="1"/>
      <w:marLeft w:val="0"/>
      <w:marRight w:val="0"/>
      <w:marTop w:val="0"/>
      <w:marBottom w:val="0"/>
      <w:divBdr>
        <w:top w:val="none" w:sz="0" w:space="0" w:color="auto"/>
        <w:left w:val="none" w:sz="0" w:space="0" w:color="auto"/>
        <w:bottom w:val="none" w:sz="0" w:space="0" w:color="auto"/>
        <w:right w:val="none" w:sz="0" w:space="0" w:color="auto"/>
      </w:divBdr>
    </w:div>
    <w:div w:id="1765999161">
      <w:bodyDiv w:val="1"/>
      <w:marLeft w:val="0"/>
      <w:marRight w:val="0"/>
      <w:marTop w:val="0"/>
      <w:marBottom w:val="0"/>
      <w:divBdr>
        <w:top w:val="none" w:sz="0" w:space="0" w:color="auto"/>
        <w:left w:val="none" w:sz="0" w:space="0" w:color="auto"/>
        <w:bottom w:val="none" w:sz="0" w:space="0" w:color="auto"/>
        <w:right w:val="none" w:sz="0" w:space="0" w:color="auto"/>
      </w:divBdr>
    </w:div>
    <w:div w:id="1777021172">
      <w:bodyDiv w:val="1"/>
      <w:marLeft w:val="0"/>
      <w:marRight w:val="0"/>
      <w:marTop w:val="0"/>
      <w:marBottom w:val="0"/>
      <w:divBdr>
        <w:top w:val="none" w:sz="0" w:space="0" w:color="auto"/>
        <w:left w:val="none" w:sz="0" w:space="0" w:color="auto"/>
        <w:bottom w:val="none" w:sz="0" w:space="0" w:color="auto"/>
        <w:right w:val="none" w:sz="0" w:space="0" w:color="auto"/>
      </w:divBdr>
    </w:div>
    <w:div w:id="1809396151">
      <w:bodyDiv w:val="1"/>
      <w:marLeft w:val="0"/>
      <w:marRight w:val="0"/>
      <w:marTop w:val="0"/>
      <w:marBottom w:val="0"/>
      <w:divBdr>
        <w:top w:val="none" w:sz="0" w:space="0" w:color="auto"/>
        <w:left w:val="none" w:sz="0" w:space="0" w:color="auto"/>
        <w:bottom w:val="none" w:sz="0" w:space="0" w:color="auto"/>
        <w:right w:val="none" w:sz="0" w:space="0" w:color="auto"/>
      </w:divBdr>
    </w:div>
    <w:div w:id="1812088759">
      <w:bodyDiv w:val="1"/>
      <w:marLeft w:val="0"/>
      <w:marRight w:val="0"/>
      <w:marTop w:val="0"/>
      <w:marBottom w:val="0"/>
      <w:divBdr>
        <w:top w:val="none" w:sz="0" w:space="0" w:color="auto"/>
        <w:left w:val="none" w:sz="0" w:space="0" w:color="auto"/>
        <w:bottom w:val="none" w:sz="0" w:space="0" w:color="auto"/>
        <w:right w:val="none" w:sz="0" w:space="0" w:color="auto"/>
      </w:divBdr>
    </w:div>
    <w:div w:id="1840458847">
      <w:bodyDiv w:val="1"/>
      <w:marLeft w:val="0"/>
      <w:marRight w:val="0"/>
      <w:marTop w:val="0"/>
      <w:marBottom w:val="0"/>
      <w:divBdr>
        <w:top w:val="none" w:sz="0" w:space="0" w:color="auto"/>
        <w:left w:val="none" w:sz="0" w:space="0" w:color="auto"/>
        <w:bottom w:val="none" w:sz="0" w:space="0" w:color="auto"/>
        <w:right w:val="none" w:sz="0" w:space="0" w:color="auto"/>
      </w:divBdr>
    </w:div>
    <w:div w:id="1914393648">
      <w:bodyDiv w:val="1"/>
      <w:marLeft w:val="0"/>
      <w:marRight w:val="0"/>
      <w:marTop w:val="0"/>
      <w:marBottom w:val="0"/>
      <w:divBdr>
        <w:top w:val="none" w:sz="0" w:space="0" w:color="auto"/>
        <w:left w:val="none" w:sz="0" w:space="0" w:color="auto"/>
        <w:bottom w:val="none" w:sz="0" w:space="0" w:color="auto"/>
        <w:right w:val="none" w:sz="0" w:space="0" w:color="auto"/>
      </w:divBdr>
    </w:div>
    <w:div w:id="1939754154">
      <w:bodyDiv w:val="1"/>
      <w:marLeft w:val="0"/>
      <w:marRight w:val="0"/>
      <w:marTop w:val="0"/>
      <w:marBottom w:val="0"/>
      <w:divBdr>
        <w:top w:val="none" w:sz="0" w:space="0" w:color="auto"/>
        <w:left w:val="none" w:sz="0" w:space="0" w:color="auto"/>
        <w:bottom w:val="none" w:sz="0" w:space="0" w:color="auto"/>
        <w:right w:val="none" w:sz="0" w:space="0" w:color="auto"/>
      </w:divBdr>
    </w:div>
    <w:div w:id="1954435568">
      <w:bodyDiv w:val="1"/>
      <w:marLeft w:val="0"/>
      <w:marRight w:val="0"/>
      <w:marTop w:val="0"/>
      <w:marBottom w:val="0"/>
      <w:divBdr>
        <w:top w:val="none" w:sz="0" w:space="0" w:color="auto"/>
        <w:left w:val="none" w:sz="0" w:space="0" w:color="auto"/>
        <w:bottom w:val="none" w:sz="0" w:space="0" w:color="auto"/>
        <w:right w:val="none" w:sz="0" w:space="0" w:color="auto"/>
      </w:divBdr>
    </w:div>
    <w:div w:id="1976063609">
      <w:bodyDiv w:val="1"/>
      <w:marLeft w:val="0"/>
      <w:marRight w:val="0"/>
      <w:marTop w:val="0"/>
      <w:marBottom w:val="0"/>
      <w:divBdr>
        <w:top w:val="none" w:sz="0" w:space="0" w:color="auto"/>
        <w:left w:val="none" w:sz="0" w:space="0" w:color="auto"/>
        <w:bottom w:val="none" w:sz="0" w:space="0" w:color="auto"/>
        <w:right w:val="none" w:sz="0" w:space="0" w:color="auto"/>
      </w:divBdr>
    </w:div>
    <w:div w:id="1994333484">
      <w:bodyDiv w:val="1"/>
      <w:marLeft w:val="0"/>
      <w:marRight w:val="0"/>
      <w:marTop w:val="0"/>
      <w:marBottom w:val="0"/>
      <w:divBdr>
        <w:top w:val="none" w:sz="0" w:space="0" w:color="auto"/>
        <w:left w:val="none" w:sz="0" w:space="0" w:color="auto"/>
        <w:bottom w:val="none" w:sz="0" w:space="0" w:color="auto"/>
        <w:right w:val="none" w:sz="0" w:space="0" w:color="auto"/>
      </w:divBdr>
    </w:div>
    <w:div w:id="2013798642">
      <w:bodyDiv w:val="1"/>
      <w:marLeft w:val="0"/>
      <w:marRight w:val="0"/>
      <w:marTop w:val="0"/>
      <w:marBottom w:val="0"/>
      <w:divBdr>
        <w:top w:val="none" w:sz="0" w:space="0" w:color="auto"/>
        <w:left w:val="none" w:sz="0" w:space="0" w:color="auto"/>
        <w:bottom w:val="none" w:sz="0" w:space="0" w:color="auto"/>
        <w:right w:val="none" w:sz="0" w:space="0" w:color="auto"/>
      </w:divBdr>
    </w:div>
    <w:div w:id="2099475559">
      <w:bodyDiv w:val="1"/>
      <w:marLeft w:val="0"/>
      <w:marRight w:val="0"/>
      <w:marTop w:val="0"/>
      <w:marBottom w:val="0"/>
      <w:divBdr>
        <w:top w:val="none" w:sz="0" w:space="0" w:color="auto"/>
        <w:left w:val="none" w:sz="0" w:space="0" w:color="auto"/>
        <w:bottom w:val="none" w:sz="0" w:space="0" w:color="auto"/>
        <w:right w:val="none" w:sz="0" w:space="0" w:color="auto"/>
      </w:divBdr>
    </w:div>
    <w:div w:id="2100439871">
      <w:bodyDiv w:val="1"/>
      <w:marLeft w:val="0"/>
      <w:marRight w:val="0"/>
      <w:marTop w:val="0"/>
      <w:marBottom w:val="0"/>
      <w:divBdr>
        <w:top w:val="none" w:sz="0" w:space="0" w:color="auto"/>
        <w:left w:val="none" w:sz="0" w:space="0" w:color="auto"/>
        <w:bottom w:val="none" w:sz="0" w:space="0" w:color="auto"/>
        <w:right w:val="none" w:sz="0" w:space="0" w:color="auto"/>
      </w:divBdr>
    </w:div>
    <w:div w:id="2122458586">
      <w:bodyDiv w:val="1"/>
      <w:marLeft w:val="0"/>
      <w:marRight w:val="0"/>
      <w:marTop w:val="0"/>
      <w:marBottom w:val="0"/>
      <w:divBdr>
        <w:top w:val="none" w:sz="0" w:space="0" w:color="auto"/>
        <w:left w:val="none" w:sz="0" w:space="0" w:color="auto"/>
        <w:bottom w:val="none" w:sz="0" w:space="0" w:color="auto"/>
        <w:right w:val="none" w:sz="0" w:space="0" w:color="auto"/>
      </w:divBdr>
    </w:div>
    <w:div w:id="2130706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9011494A-FE1B-41B5-A9BC-D7CAB0ACF56A}">
  <ds:schemaRefs>
    <ds:schemaRef ds:uri="http://schemas.openxmlformats.org/officeDocument/2006/bibliography"/>
  </ds:schemaRefs>
</ds:datastoreItem>
</file>

<file path=customXml/itemProps2.xml><?xml version="1.0" encoding="utf-8"?>
<ds:datastoreItem xmlns:ds="http://schemas.openxmlformats.org/officeDocument/2006/customXml" ds:itemID="{DB2B178B-420E-4480-8F00-94C4D765A99B}">
  <ds:schemaRefs>
    <ds:schemaRef ds:uri="http://schemas.microsoft.com/sharepoint/v3/contenttype/forms"/>
  </ds:schemaRefs>
</ds:datastoreItem>
</file>

<file path=customXml/itemProps3.xml><?xml version="1.0" encoding="utf-8"?>
<ds:datastoreItem xmlns:ds="http://schemas.openxmlformats.org/officeDocument/2006/customXml" ds:itemID="{D7D112F3-D69D-4782-8BFC-43E55B5ED5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2C3636-8BAB-45F7-B62D-C30F6C0D194B}">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docProps/app.xml><?xml version="1.0" encoding="utf-8"?>
<Properties xmlns="http://schemas.openxmlformats.org/officeDocument/2006/extended-properties" xmlns:vt="http://schemas.openxmlformats.org/officeDocument/2006/docPropsVTypes">
  <Template>Normal.dotm</Template>
  <TotalTime>635</TotalTime>
  <Pages>10</Pages>
  <Words>3639</Words>
  <Characters>20744</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24335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Hamidi-sepehr, Fatemeh</dc:creator>
  <cp:keywords>CTPClassification=CTP_NT</cp:keywords>
  <dc:description/>
  <cp:lastModifiedBy>Li, Yingyang</cp:lastModifiedBy>
  <cp:revision>81</cp:revision>
  <dcterms:created xsi:type="dcterms:W3CDTF">2022-10-24T13:51:00Z</dcterms:created>
  <dcterms:modified xsi:type="dcterms:W3CDTF">2022-11-03T04:09:00Z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79e013cf-d1bb-418e-ad4c-108ebea0d6da</vt:lpwstr>
  </property>
  <property fmtid="{D5CDD505-2E9C-101B-9397-08002B2CF9AE}" pid="3" name="CTP_TimeStamp">
    <vt:lpwstr>2020-08-08 07:18:01Z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y fmtid="{D5CDD505-2E9C-101B-9397-08002B2CF9AE}" pid="9" name="MediaServiceImageTags">
    <vt:lpwstr/>
  </property>
</Properties>
</file>